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32"/>
        </w:rPr>
      </w:sdtEndPr>
      <w:sdtContent>
        <w:p w14:paraId="1D98E1B9"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BBBF0AD" wp14:editId="0CF2960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71990"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BBBF0A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11D71990"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320CFED" wp14:editId="6CD5844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CEB2B" w14:textId="33796AA9" w:rsidR="00813BE8" w:rsidRPr="00744441" w:rsidRDefault="000870B0" w:rsidP="00631C11">
                                <w:pPr>
                                  <w:jc w:val="left"/>
                                  <w:rPr>
                                    <w:rFonts w:cs="Arial"/>
                                    <w:b/>
                                    <w:iCs/>
                                    <w:smallCaps/>
                                    <w:color w:val="44546A" w:themeColor="text2"/>
                                    <w:sz w:val="72"/>
                                    <w:szCs w:val="28"/>
                                  </w:rPr>
                                </w:pPr>
                                <w:r w:rsidRPr="00AC1E6C">
                                  <w:rPr>
                                    <w:rFonts w:cs="Arial"/>
                                    <w:b/>
                                    <w:iCs/>
                                    <w:smallCaps/>
                                    <w:color w:val="0D5435"/>
                                    <w:sz w:val="72"/>
                                    <w:szCs w:val="28"/>
                                  </w:rPr>
                                  <w:fldChar w:fldCharType="begin"/>
                                </w:r>
                                <w:r w:rsidRPr="00AC1E6C">
                                  <w:rPr>
                                    <w:rFonts w:cs="Arial"/>
                                    <w:b/>
                                    <w:iCs/>
                                    <w:smallCaps/>
                                    <w:color w:val="0D5435"/>
                                    <w:sz w:val="72"/>
                                    <w:szCs w:val="28"/>
                                  </w:rPr>
                                  <w:instrText xml:space="preserve"> TITLE  \* FirstCap  \* MERGEFORMAT </w:instrText>
                                </w:r>
                                <w:r w:rsidRPr="00AC1E6C">
                                  <w:rPr>
                                    <w:rFonts w:cs="Arial"/>
                                    <w:b/>
                                    <w:iCs/>
                                    <w:smallCaps/>
                                    <w:color w:val="0D5435"/>
                                    <w:sz w:val="72"/>
                                    <w:szCs w:val="28"/>
                                  </w:rPr>
                                  <w:fldChar w:fldCharType="separate"/>
                                </w:r>
                                <w:r w:rsidRPr="00AC1E6C">
                                  <w:rPr>
                                    <w:rFonts w:cs="Arial"/>
                                    <w:b/>
                                    <w:iCs/>
                                    <w:smallCaps/>
                                    <w:color w:val="0D5435"/>
                                    <w:sz w:val="72"/>
                                    <w:szCs w:val="28"/>
                                  </w:rPr>
                                  <w:t>Metodologija</w:t>
                                </w:r>
                                <w:r>
                                  <w:rPr>
                                    <w:rFonts w:cs="Arial"/>
                                    <w:b/>
                                    <w:iCs/>
                                    <w:smallCaps/>
                                    <w:color w:val="44546A" w:themeColor="text2"/>
                                    <w:sz w:val="72"/>
                                    <w:szCs w:val="28"/>
                                  </w:rPr>
                                  <w:t xml:space="preserve"> upravljanja rizicima informacijskog sustava</w:t>
                                </w:r>
                                <w:r>
                                  <w:rPr>
                                    <w:rFonts w:cs="Arial"/>
                                    <w:b/>
                                    <w:iCs/>
                                    <w:smallCaps/>
                                    <w:color w:val="44546A" w:themeColor="text2"/>
                                    <w:sz w:val="72"/>
                                    <w:szCs w:val="2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20CFED"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544CEB2B" w14:textId="33796AA9" w:rsidR="00813BE8" w:rsidRPr="00744441" w:rsidRDefault="000870B0" w:rsidP="00631C11">
                          <w:pPr>
                            <w:jc w:val="left"/>
                            <w:rPr>
                              <w:rFonts w:cs="Arial"/>
                              <w:b/>
                              <w:iCs/>
                              <w:smallCaps/>
                              <w:color w:val="44546A" w:themeColor="text2"/>
                              <w:sz w:val="72"/>
                              <w:szCs w:val="28"/>
                            </w:rPr>
                          </w:pPr>
                          <w:r w:rsidRPr="00AC1E6C">
                            <w:rPr>
                              <w:rFonts w:cs="Arial"/>
                              <w:b/>
                              <w:iCs/>
                              <w:smallCaps/>
                              <w:color w:val="0D5435"/>
                              <w:sz w:val="72"/>
                              <w:szCs w:val="28"/>
                            </w:rPr>
                            <w:fldChar w:fldCharType="begin"/>
                          </w:r>
                          <w:r w:rsidRPr="00AC1E6C">
                            <w:rPr>
                              <w:rFonts w:cs="Arial"/>
                              <w:b/>
                              <w:iCs/>
                              <w:smallCaps/>
                              <w:color w:val="0D5435"/>
                              <w:sz w:val="72"/>
                              <w:szCs w:val="28"/>
                            </w:rPr>
                            <w:instrText xml:space="preserve"> TITLE  \* FirstCap  \* MERGEFORMAT </w:instrText>
                          </w:r>
                          <w:r w:rsidRPr="00AC1E6C">
                            <w:rPr>
                              <w:rFonts w:cs="Arial"/>
                              <w:b/>
                              <w:iCs/>
                              <w:smallCaps/>
                              <w:color w:val="0D5435"/>
                              <w:sz w:val="72"/>
                              <w:szCs w:val="28"/>
                            </w:rPr>
                            <w:fldChar w:fldCharType="separate"/>
                          </w:r>
                          <w:r w:rsidRPr="00AC1E6C">
                            <w:rPr>
                              <w:rFonts w:cs="Arial"/>
                              <w:b/>
                              <w:iCs/>
                              <w:smallCaps/>
                              <w:color w:val="0D5435"/>
                              <w:sz w:val="72"/>
                              <w:szCs w:val="28"/>
                            </w:rPr>
                            <w:t>Metodologija</w:t>
                          </w:r>
                          <w:r>
                            <w:rPr>
                              <w:rFonts w:cs="Arial"/>
                              <w:b/>
                              <w:iCs/>
                              <w:smallCaps/>
                              <w:color w:val="44546A" w:themeColor="text2"/>
                              <w:sz w:val="72"/>
                              <w:szCs w:val="28"/>
                            </w:rPr>
                            <w:t xml:space="preserve"> upravljanja rizicima informacijskog sustava</w:t>
                          </w:r>
                          <w:r>
                            <w:rPr>
                              <w:rFonts w:cs="Arial"/>
                              <w:b/>
                              <w:iCs/>
                              <w:smallCaps/>
                              <w:color w:val="44546A" w:themeColor="text2"/>
                              <w:sz w:val="72"/>
                              <w:szCs w:val="28"/>
                            </w:rPr>
                            <w:fldChar w:fldCharType="end"/>
                          </w:r>
                        </w:p>
                      </w:txbxContent>
                    </v:textbox>
                    <w10:wrap anchorx="page" anchory="page"/>
                  </v:shape>
                </w:pict>
              </mc:Fallback>
            </mc:AlternateContent>
          </w:r>
        </w:p>
        <w:p w14:paraId="0D183C32" w14:textId="77777777" w:rsidR="00E026AD" w:rsidRDefault="00E026AD" w:rsidP="00BC1D0E">
          <w:pPr>
            <w:pStyle w:val="Heading1"/>
            <w:rPr>
              <w:lang w:val="en-US" w:eastAsia="en-US"/>
            </w:rPr>
          </w:pPr>
          <w:r>
            <w:rPr>
              <w:lang w:val="en-US" w:eastAsia="en-US"/>
            </w:rPr>
            <w:br w:type="page"/>
          </w:r>
        </w:p>
      </w:sdtContent>
    </w:sdt>
    <w:p w14:paraId="203C1BFD" w14:textId="16E7DD64" w:rsidR="001A6568" w:rsidRPr="00085276" w:rsidRDefault="001A6568" w:rsidP="001A6568">
      <w:pPr>
        <w:spacing w:before="60" w:after="60" w:line="276" w:lineRule="auto"/>
      </w:pPr>
      <w:r w:rsidRPr="009F7029">
        <w:lastRenderedPageBreak/>
        <w:t xml:space="preserve">Na temelju odluke </w:t>
      </w:r>
      <w:r>
        <w:t>direktora</w:t>
      </w:r>
      <w:r w:rsidRPr="009F7029">
        <w:t xml:space="preserve">, gosp. Bojana </w:t>
      </w:r>
      <w:r>
        <w:t>Huzanića</w:t>
      </w:r>
      <w:r w:rsidRPr="009F7029">
        <w:t xml:space="preserve">, tvrtka </w:t>
      </w:r>
      <w:r>
        <w:t>TPA d.o.o.</w:t>
      </w:r>
      <w:r w:rsidRPr="009F7029">
        <w:t xml:space="preserve">, na adresi </w:t>
      </w:r>
      <w:r>
        <w:t xml:space="preserve">Zagreb, </w:t>
      </w:r>
      <w:r w:rsidRPr="00A06198">
        <w:t>Josipa Marohnića 1/1</w:t>
      </w:r>
      <w:r w:rsidRPr="009F7029">
        <w:t xml:space="preserve">, </w:t>
      </w:r>
      <w:r>
        <w:t xml:space="preserve">OIB: 18197068007 </w:t>
      </w:r>
      <w:r w:rsidRPr="009F7029">
        <w:t>(u daljnjem tekstu</w:t>
      </w:r>
      <w:r w:rsidR="00747CA9">
        <w:t>:</w:t>
      </w:r>
      <w:r w:rsidRPr="009F7029">
        <w:t xml:space="preserve"> </w:t>
      </w:r>
      <w:r w:rsidR="00191166">
        <w:t>Društvo</w:t>
      </w:r>
      <w:r w:rsidRPr="009F7029">
        <w:t xml:space="preserve">) donosi dana </w:t>
      </w:r>
      <w:r>
        <w:t>25</w:t>
      </w:r>
      <w:r w:rsidRPr="009F7029">
        <w:t>.</w:t>
      </w:r>
      <w:r>
        <w:t>04</w:t>
      </w:r>
      <w:r w:rsidRPr="009F7029">
        <w:t>.20</w:t>
      </w:r>
      <w:r>
        <w:t>25</w:t>
      </w:r>
      <w:r w:rsidRPr="009F7029">
        <w:t xml:space="preserve">. </w:t>
      </w:r>
      <w:r>
        <w:t>sljedeći dokument:</w:t>
      </w:r>
    </w:p>
    <w:p w14:paraId="3615261A" w14:textId="77777777" w:rsidR="00BC1D0E" w:rsidRDefault="00BC1D0E" w:rsidP="00DB64B4">
      <w:pPr>
        <w:spacing w:after="0"/>
        <w:rPr>
          <w:rFonts w:cs="Arial"/>
        </w:rPr>
      </w:pPr>
    </w:p>
    <w:p w14:paraId="64638BB5" w14:textId="1570A6A9" w:rsidR="00747A05" w:rsidRDefault="000870B0" w:rsidP="0066668C">
      <w:pPr>
        <w:spacing w:after="0"/>
        <w:jc w:val="center"/>
        <w:rPr>
          <w:b/>
          <w:caps/>
          <w:color w:val="44546A" w:themeColor="text2"/>
          <w:sz w:val="44"/>
        </w:rPr>
      </w:pPr>
      <w:r>
        <w:rPr>
          <w:b/>
          <w:caps/>
          <w:color w:val="44546A" w:themeColor="text2"/>
          <w:sz w:val="44"/>
        </w:rPr>
        <w:fldChar w:fldCharType="begin"/>
      </w:r>
      <w:r>
        <w:rPr>
          <w:b/>
          <w:caps/>
          <w:color w:val="44546A" w:themeColor="text2"/>
          <w:sz w:val="44"/>
        </w:rPr>
        <w:instrText xml:space="preserve"> TITLE  \* Upper  \* MERGEFORMAT </w:instrText>
      </w:r>
      <w:r>
        <w:rPr>
          <w:b/>
          <w:caps/>
          <w:color w:val="44546A" w:themeColor="text2"/>
          <w:sz w:val="44"/>
        </w:rPr>
        <w:fldChar w:fldCharType="separate"/>
      </w:r>
      <w:r>
        <w:rPr>
          <w:b/>
          <w:color w:val="44546A" w:themeColor="text2"/>
          <w:sz w:val="44"/>
        </w:rPr>
        <w:t>METODOLOGIJA UPRAVLJANJA RIZICIMA INFORMACIJSKOG SUSTAVA</w:t>
      </w:r>
      <w:r>
        <w:rPr>
          <w:b/>
          <w:caps/>
          <w:color w:val="44546A" w:themeColor="text2"/>
          <w:sz w:val="44"/>
        </w:rPr>
        <w:fldChar w:fldCharType="end"/>
      </w:r>
    </w:p>
    <w:p w14:paraId="59F39DE8" w14:textId="77777777" w:rsidR="00744441" w:rsidRPr="0066668C" w:rsidRDefault="00744441" w:rsidP="0066668C">
      <w:pPr>
        <w:spacing w:after="0"/>
        <w:jc w:val="center"/>
        <w:rPr>
          <w:b/>
          <w:color w:val="44546A" w:themeColor="text2"/>
          <w:sz w:val="44"/>
        </w:rPr>
      </w:pPr>
    </w:p>
    <w:p w14:paraId="71FDB07C" w14:textId="7BB18BFF"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0849FC">
        <w:rPr>
          <w:rFonts w:cs="Arial"/>
          <w:b/>
        </w:rPr>
        <w:t>dokumenta</w:t>
      </w:r>
      <w:r w:rsidRPr="00CA1597">
        <w:rPr>
          <w:rFonts w:cs="Arial"/>
          <w:b/>
        </w:rPr>
        <w:t xml:space="preserve">: </w:t>
      </w:r>
      <w:r w:rsidR="000870B0">
        <w:rPr>
          <w:rFonts w:cs="Arial"/>
          <w:b/>
        </w:rPr>
        <w:fldChar w:fldCharType="begin"/>
      </w:r>
      <w:r w:rsidR="000870B0">
        <w:rPr>
          <w:rFonts w:cs="Arial"/>
          <w:b/>
        </w:rPr>
        <w:instrText xml:space="preserve"> TITLE  \* FirstCap  \* MERGEFORMAT </w:instrText>
      </w:r>
      <w:r w:rsidR="000870B0">
        <w:rPr>
          <w:rFonts w:cs="Arial"/>
          <w:b/>
        </w:rPr>
        <w:fldChar w:fldCharType="separate"/>
      </w:r>
      <w:r w:rsidR="000870B0">
        <w:rPr>
          <w:rFonts w:cs="Arial"/>
          <w:b/>
        </w:rPr>
        <w:t>Metodologija upravljanja rizicima informacijskog sustava</w:t>
      </w:r>
      <w:r w:rsidR="000870B0">
        <w:rPr>
          <w:rFonts w:cs="Arial"/>
          <w:b/>
        </w:rPr>
        <w:fldChar w:fldCharType="end"/>
      </w:r>
    </w:p>
    <w:p w14:paraId="2C6871C5" w14:textId="7654D74B"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6C69A6">
        <w:rPr>
          <w:rFonts w:cs="Arial"/>
          <w:b/>
        </w:rPr>
        <w:t>01</w:t>
      </w:r>
      <w:r w:rsidRPr="00CA1597">
        <w:rPr>
          <w:rFonts w:cs="Arial"/>
          <w:b/>
        </w:rPr>
        <w:t>.</w:t>
      </w:r>
      <w:r w:rsidR="006C69A6">
        <w:rPr>
          <w:rFonts w:cs="Arial"/>
          <w:b/>
        </w:rPr>
        <w:t>06</w:t>
      </w:r>
      <w:r w:rsidRPr="00CA1597">
        <w:rPr>
          <w:rFonts w:cs="Arial"/>
          <w:b/>
        </w:rPr>
        <w:t>.20</w:t>
      </w:r>
      <w:r w:rsidR="006C69A6">
        <w:rPr>
          <w:rFonts w:cs="Arial"/>
          <w:b/>
        </w:rPr>
        <w:t>20</w:t>
      </w:r>
      <w:r w:rsidRPr="00CA1597">
        <w:rPr>
          <w:rFonts w:cs="Arial"/>
          <w:b/>
        </w:rPr>
        <w:t>.</w:t>
      </w:r>
    </w:p>
    <w:p w14:paraId="3DE15B9F"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984C06D" w14:textId="77777777" w:rsidR="00C37A20" w:rsidRDefault="00C37A20" w:rsidP="00631C11">
      <w:pPr>
        <w:spacing w:after="0" w:line="276" w:lineRule="auto"/>
        <w:jc w:val="left"/>
        <w:rPr>
          <w:rFonts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560"/>
        <w:gridCol w:w="2691"/>
        <w:gridCol w:w="2264"/>
      </w:tblGrid>
      <w:tr w:rsidR="004C3784" w:rsidRPr="00F24D31" w14:paraId="0678AF11" w14:textId="77777777" w:rsidTr="001A6568">
        <w:trPr>
          <w:trHeight w:val="649"/>
        </w:trPr>
        <w:tc>
          <w:tcPr>
            <w:tcW w:w="1405" w:type="pct"/>
            <w:vAlign w:val="center"/>
          </w:tcPr>
          <w:p w14:paraId="44D6CB06" w14:textId="77777777" w:rsidR="004C3784" w:rsidRPr="00F24D31" w:rsidRDefault="004C3784" w:rsidP="00BC1D0E">
            <w:pPr>
              <w:rPr>
                <w:rFonts w:cs="Arial"/>
              </w:rPr>
            </w:pPr>
          </w:p>
        </w:tc>
        <w:tc>
          <w:tcPr>
            <w:tcW w:w="861" w:type="pct"/>
            <w:vAlign w:val="center"/>
          </w:tcPr>
          <w:p w14:paraId="0C3F34F4" w14:textId="2C2947A4" w:rsidR="004C3784" w:rsidRPr="00E17CE8" w:rsidRDefault="004C3784" w:rsidP="00BC1D0E">
            <w:pPr>
              <w:jc w:val="center"/>
              <w:rPr>
                <w:sz w:val="20"/>
              </w:rPr>
            </w:pPr>
            <w:r>
              <w:rPr>
                <w:sz w:val="20"/>
              </w:rPr>
              <w:t>Direktor</w:t>
            </w:r>
          </w:p>
        </w:tc>
        <w:tc>
          <w:tcPr>
            <w:tcW w:w="1485" w:type="pct"/>
            <w:vAlign w:val="center"/>
          </w:tcPr>
          <w:p w14:paraId="6FDF2651" w14:textId="77777777" w:rsidR="004C3784" w:rsidRPr="00E17CE8" w:rsidRDefault="004C3784" w:rsidP="00BC1D0E">
            <w:pPr>
              <w:jc w:val="center"/>
              <w:rPr>
                <w:sz w:val="20"/>
              </w:rPr>
            </w:pPr>
            <w:r w:rsidRPr="00E17CE8">
              <w:rPr>
                <w:sz w:val="20"/>
              </w:rPr>
              <w:t>Voditelj sigurnosti informacijskog sustava</w:t>
            </w:r>
          </w:p>
        </w:tc>
        <w:tc>
          <w:tcPr>
            <w:tcW w:w="1249" w:type="pct"/>
            <w:vAlign w:val="center"/>
          </w:tcPr>
          <w:p w14:paraId="1A714534" w14:textId="64ADC23E" w:rsidR="004C3784" w:rsidRPr="00E17CE8" w:rsidRDefault="004C3784" w:rsidP="00BC1D0E">
            <w:pPr>
              <w:jc w:val="center"/>
              <w:rPr>
                <w:sz w:val="20"/>
              </w:rPr>
            </w:pPr>
            <w:r w:rsidRPr="00E17CE8">
              <w:rPr>
                <w:sz w:val="20"/>
              </w:rPr>
              <w:t xml:space="preserve">Zaposlenici </w:t>
            </w:r>
            <w:r>
              <w:rPr>
                <w:sz w:val="20"/>
              </w:rPr>
              <w:t>Društva</w:t>
            </w:r>
          </w:p>
        </w:tc>
      </w:tr>
      <w:tr w:rsidR="004C3784" w:rsidRPr="00F24D31" w14:paraId="5D44FCCA" w14:textId="77777777" w:rsidTr="001A6568">
        <w:trPr>
          <w:trHeight w:val="414"/>
        </w:trPr>
        <w:tc>
          <w:tcPr>
            <w:tcW w:w="1405" w:type="pct"/>
            <w:vAlign w:val="center"/>
          </w:tcPr>
          <w:p w14:paraId="5EE0C41D" w14:textId="77777777" w:rsidR="004C3784" w:rsidRPr="00F24D31" w:rsidRDefault="004C3784" w:rsidP="00BC1D0E">
            <w:pPr>
              <w:rPr>
                <w:rFonts w:cs="Arial"/>
                <w:b/>
              </w:rPr>
            </w:pPr>
            <w:r w:rsidRPr="00F24D31">
              <w:rPr>
                <w:rFonts w:cs="Arial"/>
                <w:b/>
              </w:rPr>
              <w:t>Iniciranje izrade</w:t>
            </w:r>
          </w:p>
        </w:tc>
        <w:tc>
          <w:tcPr>
            <w:tcW w:w="861" w:type="pct"/>
            <w:vAlign w:val="center"/>
          </w:tcPr>
          <w:p w14:paraId="2C1BFE35" w14:textId="6C814994" w:rsidR="004C3784" w:rsidRPr="00E17CE8" w:rsidRDefault="004C3784" w:rsidP="00BC1D0E">
            <w:pPr>
              <w:jc w:val="center"/>
              <w:rPr>
                <w:sz w:val="20"/>
              </w:rPr>
            </w:pPr>
            <w:r>
              <w:rPr>
                <w:sz w:val="20"/>
              </w:rPr>
              <w:t>I</w:t>
            </w:r>
          </w:p>
        </w:tc>
        <w:tc>
          <w:tcPr>
            <w:tcW w:w="1485" w:type="pct"/>
            <w:vAlign w:val="center"/>
          </w:tcPr>
          <w:p w14:paraId="48F4099A" w14:textId="77777777" w:rsidR="004C3784" w:rsidRPr="00E17CE8" w:rsidRDefault="004C3784" w:rsidP="00BC1D0E">
            <w:pPr>
              <w:jc w:val="center"/>
              <w:rPr>
                <w:sz w:val="20"/>
              </w:rPr>
            </w:pPr>
            <w:r w:rsidRPr="00E17CE8">
              <w:rPr>
                <w:sz w:val="20"/>
              </w:rPr>
              <w:t>R, A</w:t>
            </w:r>
          </w:p>
        </w:tc>
        <w:tc>
          <w:tcPr>
            <w:tcW w:w="1249" w:type="pct"/>
            <w:vAlign w:val="center"/>
          </w:tcPr>
          <w:p w14:paraId="737B53A6" w14:textId="77777777" w:rsidR="004C3784" w:rsidRPr="00E17CE8" w:rsidRDefault="004C3784" w:rsidP="00BC1D0E">
            <w:pPr>
              <w:jc w:val="center"/>
              <w:rPr>
                <w:sz w:val="20"/>
              </w:rPr>
            </w:pPr>
          </w:p>
        </w:tc>
      </w:tr>
      <w:tr w:rsidR="004C3784" w:rsidRPr="00F24D31" w14:paraId="73295110" w14:textId="77777777" w:rsidTr="001A6568">
        <w:trPr>
          <w:trHeight w:val="408"/>
        </w:trPr>
        <w:tc>
          <w:tcPr>
            <w:tcW w:w="1405" w:type="pct"/>
            <w:vAlign w:val="center"/>
          </w:tcPr>
          <w:p w14:paraId="3AA2CA65" w14:textId="77777777" w:rsidR="004C3784" w:rsidRPr="00F24D31" w:rsidRDefault="004C3784" w:rsidP="00BC1D0E">
            <w:pPr>
              <w:rPr>
                <w:rFonts w:cs="Arial"/>
                <w:b/>
              </w:rPr>
            </w:pPr>
            <w:r w:rsidRPr="00F24D31">
              <w:rPr>
                <w:rFonts w:cs="Arial"/>
                <w:b/>
              </w:rPr>
              <w:t>Izrada</w:t>
            </w:r>
          </w:p>
        </w:tc>
        <w:tc>
          <w:tcPr>
            <w:tcW w:w="861" w:type="pct"/>
            <w:vAlign w:val="center"/>
          </w:tcPr>
          <w:p w14:paraId="06E92426" w14:textId="7219AB8C" w:rsidR="004C3784" w:rsidRPr="00E17CE8" w:rsidRDefault="004C3784" w:rsidP="00BC1D0E">
            <w:pPr>
              <w:jc w:val="center"/>
              <w:rPr>
                <w:sz w:val="20"/>
              </w:rPr>
            </w:pPr>
          </w:p>
        </w:tc>
        <w:tc>
          <w:tcPr>
            <w:tcW w:w="1485" w:type="pct"/>
            <w:vAlign w:val="center"/>
          </w:tcPr>
          <w:p w14:paraId="391C7011" w14:textId="77777777" w:rsidR="004C3784" w:rsidRPr="00E17CE8" w:rsidRDefault="004C3784" w:rsidP="00BC1D0E">
            <w:pPr>
              <w:jc w:val="center"/>
              <w:rPr>
                <w:sz w:val="20"/>
              </w:rPr>
            </w:pPr>
            <w:r w:rsidRPr="00E17CE8">
              <w:rPr>
                <w:sz w:val="20"/>
              </w:rPr>
              <w:t>R, A</w:t>
            </w:r>
          </w:p>
        </w:tc>
        <w:tc>
          <w:tcPr>
            <w:tcW w:w="1249" w:type="pct"/>
            <w:vAlign w:val="center"/>
          </w:tcPr>
          <w:p w14:paraId="1B9D0DDB" w14:textId="77777777" w:rsidR="004C3784" w:rsidRPr="00E17CE8" w:rsidRDefault="004C3784" w:rsidP="00BC1D0E">
            <w:pPr>
              <w:jc w:val="center"/>
              <w:rPr>
                <w:sz w:val="20"/>
              </w:rPr>
            </w:pPr>
          </w:p>
        </w:tc>
      </w:tr>
      <w:tr w:rsidR="004C3784" w:rsidRPr="00F24D31" w14:paraId="75849D9C" w14:textId="77777777" w:rsidTr="001A6568">
        <w:trPr>
          <w:trHeight w:val="428"/>
        </w:trPr>
        <w:tc>
          <w:tcPr>
            <w:tcW w:w="1405" w:type="pct"/>
            <w:vAlign w:val="center"/>
          </w:tcPr>
          <w:p w14:paraId="1317D018" w14:textId="77777777" w:rsidR="004C3784" w:rsidRPr="00F24D31" w:rsidRDefault="004C3784" w:rsidP="00BC1D0E">
            <w:pPr>
              <w:rPr>
                <w:rFonts w:cs="Arial"/>
                <w:b/>
              </w:rPr>
            </w:pPr>
            <w:r w:rsidRPr="00F24D31">
              <w:rPr>
                <w:rFonts w:cs="Arial"/>
                <w:b/>
              </w:rPr>
              <w:t>Revizija</w:t>
            </w:r>
          </w:p>
        </w:tc>
        <w:tc>
          <w:tcPr>
            <w:tcW w:w="861" w:type="pct"/>
            <w:vAlign w:val="center"/>
          </w:tcPr>
          <w:p w14:paraId="21950D48" w14:textId="5DD6FE43" w:rsidR="004C3784" w:rsidRPr="00E17CE8" w:rsidRDefault="004C3784" w:rsidP="00BC1D0E">
            <w:pPr>
              <w:jc w:val="center"/>
              <w:rPr>
                <w:sz w:val="20"/>
              </w:rPr>
            </w:pPr>
          </w:p>
        </w:tc>
        <w:tc>
          <w:tcPr>
            <w:tcW w:w="1485" w:type="pct"/>
            <w:vAlign w:val="center"/>
          </w:tcPr>
          <w:p w14:paraId="6E2B42C5" w14:textId="77777777" w:rsidR="004C3784" w:rsidRPr="00E17CE8" w:rsidRDefault="004C3784" w:rsidP="00BC1D0E">
            <w:pPr>
              <w:jc w:val="center"/>
              <w:rPr>
                <w:sz w:val="20"/>
              </w:rPr>
            </w:pPr>
            <w:r w:rsidRPr="00E17CE8">
              <w:rPr>
                <w:sz w:val="20"/>
              </w:rPr>
              <w:t>R, A</w:t>
            </w:r>
          </w:p>
        </w:tc>
        <w:tc>
          <w:tcPr>
            <w:tcW w:w="1249" w:type="pct"/>
            <w:vAlign w:val="center"/>
          </w:tcPr>
          <w:p w14:paraId="72850E5B" w14:textId="77777777" w:rsidR="004C3784" w:rsidRPr="00E17CE8" w:rsidRDefault="004C3784" w:rsidP="00BC1D0E">
            <w:pPr>
              <w:jc w:val="center"/>
              <w:rPr>
                <w:sz w:val="20"/>
              </w:rPr>
            </w:pPr>
          </w:p>
        </w:tc>
      </w:tr>
      <w:tr w:rsidR="004C3784" w:rsidRPr="00F24D31" w14:paraId="631A46BB" w14:textId="77777777" w:rsidTr="001A6568">
        <w:trPr>
          <w:trHeight w:val="406"/>
        </w:trPr>
        <w:tc>
          <w:tcPr>
            <w:tcW w:w="1405" w:type="pct"/>
            <w:vAlign w:val="center"/>
          </w:tcPr>
          <w:p w14:paraId="7B9F60E1" w14:textId="77777777" w:rsidR="004C3784" w:rsidRPr="00F24D31" w:rsidRDefault="004C3784" w:rsidP="00BC1D0E">
            <w:pPr>
              <w:rPr>
                <w:rFonts w:cs="Arial"/>
                <w:b/>
              </w:rPr>
            </w:pPr>
            <w:r w:rsidRPr="00F24D31">
              <w:rPr>
                <w:rFonts w:cs="Arial"/>
                <w:b/>
              </w:rPr>
              <w:t>Odobravanje</w:t>
            </w:r>
          </w:p>
        </w:tc>
        <w:tc>
          <w:tcPr>
            <w:tcW w:w="861" w:type="pct"/>
            <w:vAlign w:val="center"/>
          </w:tcPr>
          <w:p w14:paraId="444A4AD1" w14:textId="4BE92B7A" w:rsidR="004C3784" w:rsidRPr="00E17CE8" w:rsidRDefault="004C3784" w:rsidP="00BC1D0E">
            <w:pPr>
              <w:jc w:val="center"/>
              <w:rPr>
                <w:sz w:val="20"/>
              </w:rPr>
            </w:pPr>
            <w:r>
              <w:rPr>
                <w:sz w:val="20"/>
              </w:rPr>
              <w:t>A</w:t>
            </w:r>
          </w:p>
        </w:tc>
        <w:tc>
          <w:tcPr>
            <w:tcW w:w="1485" w:type="pct"/>
            <w:vAlign w:val="center"/>
          </w:tcPr>
          <w:p w14:paraId="7124FE67" w14:textId="77777777" w:rsidR="004C3784" w:rsidRPr="00E17CE8" w:rsidRDefault="004C3784" w:rsidP="00BC1D0E">
            <w:pPr>
              <w:jc w:val="center"/>
              <w:rPr>
                <w:sz w:val="20"/>
              </w:rPr>
            </w:pPr>
            <w:r w:rsidRPr="00E17CE8">
              <w:rPr>
                <w:sz w:val="20"/>
              </w:rPr>
              <w:t>I</w:t>
            </w:r>
          </w:p>
        </w:tc>
        <w:tc>
          <w:tcPr>
            <w:tcW w:w="1249" w:type="pct"/>
            <w:vAlign w:val="center"/>
          </w:tcPr>
          <w:p w14:paraId="51EF4441" w14:textId="77777777" w:rsidR="004C3784" w:rsidRPr="00E17CE8" w:rsidRDefault="004C3784" w:rsidP="00BC1D0E">
            <w:pPr>
              <w:jc w:val="center"/>
              <w:rPr>
                <w:sz w:val="20"/>
              </w:rPr>
            </w:pPr>
            <w:r w:rsidRPr="00E17CE8">
              <w:rPr>
                <w:sz w:val="20"/>
              </w:rPr>
              <w:t>I</w:t>
            </w:r>
          </w:p>
        </w:tc>
      </w:tr>
    </w:tbl>
    <w:p w14:paraId="02185AF7"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653846">
        <w:rPr>
          <w:rFonts w:cs="Arial"/>
          <w:i/>
          <w:sz w:val="18"/>
          <w:szCs w:val="18"/>
        </w:rPr>
        <w:tab/>
      </w:r>
      <w:r w:rsidRPr="00F24D31">
        <w:rPr>
          <w:rFonts w:cs="Arial"/>
          <w:i/>
          <w:sz w:val="18"/>
          <w:szCs w:val="18"/>
        </w:rPr>
        <w:t>C –Sav</w:t>
      </w:r>
      <w:r w:rsidR="00C20AD7">
        <w:rPr>
          <w:rFonts w:cs="Arial"/>
          <w:i/>
          <w:sz w:val="18"/>
          <w:szCs w:val="18"/>
        </w:rPr>
        <w:t>jetodavna funkcija (Consulted);</w:t>
      </w:r>
    </w:p>
    <w:p w14:paraId="7B665FD6"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21779819" w14:textId="77777777" w:rsidR="0053575F" w:rsidRPr="00F24D31" w:rsidRDefault="0053575F" w:rsidP="0053575F">
      <w:pPr>
        <w:spacing w:after="0"/>
        <w:rPr>
          <w:rFonts w:cs="Arial"/>
          <w:i/>
        </w:rPr>
      </w:pPr>
    </w:p>
    <w:p w14:paraId="0412AB29"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466"/>
        <w:gridCol w:w="5806"/>
      </w:tblGrid>
      <w:tr w:rsidR="0053575F" w:rsidRPr="00F24D31" w14:paraId="2C97D166" w14:textId="77777777" w:rsidTr="00C20AD7">
        <w:trPr>
          <w:trHeight w:val="428"/>
        </w:trPr>
        <w:tc>
          <w:tcPr>
            <w:tcW w:w="1790" w:type="dxa"/>
            <w:vAlign w:val="center"/>
          </w:tcPr>
          <w:p w14:paraId="5B3D0096" w14:textId="77777777" w:rsidR="0053575F" w:rsidRPr="00F24D31" w:rsidRDefault="0053575F" w:rsidP="00A664BD">
            <w:pPr>
              <w:jc w:val="center"/>
              <w:rPr>
                <w:rFonts w:cs="Arial"/>
                <w:b/>
              </w:rPr>
            </w:pPr>
            <w:r w:rsidRPr="00F24D31">
              <w:rPr>
                <w:rFonts w:cs="Arial"/>
                <w:b/>
              </w:rPr>
              <w:t>Datum revizije</w:t>
            </w:r>
          </w:p>
        </w:tc>
        <w:tc>
          <w:tcPr>
            <w:tcW w:w="1466" w:type="dxa"/>
            <w:vAlign w:val="center"/>
          </w:tcPr>
          <w:p w14:paraId="4E4C5947" w14:textId="77777777" w:rsidR="0053575F" w:rsidRPr="00F24D31" w:rsidRDefault="0053575F" w:rsidP="00A664BD">
            <w:pPr>
              <w:jc w:val="center"/>
              <w:rPr>
                <w:rFonts w:cs="Arial"/>
                <w:b/>
              </w:rPr>
            </w:pPr>
            <w:r w:rsidRPr="00F24D31">
              <w:rPr>
                <w:rFonts w:cs="Arial"/>
                <w:b/>
              </w:rPr>
              <w:t>Oznaka verzije</w:t>
            </w:r>
          </w:p>
        </w:tc>
        <w:tc>
          <w:tcPr>
            <w:tcW w:w="5806" w:type="dxa"/>
            <w:vAlign w:val="center"/>
          </w:tcPr>
          <w:p w14:paraId="6209CA03"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1D4EDEBE" w14:textId="77777777" w:rsidTr="00C20AD7">
        <w:trPr>
          <w:trHeight w:val="406"/>
        </w:trPr>
        <w:tc>
          <w:tcPr>
            <w:tcW w:w="1790" w:type="dxa"/>
          </w:tcPr>
          <w:p w14:paraId="5748F6A4" w14:textId="20421333" w:rsidR="007E6C30" w:rsidRPr="00B3065F" w:rsidRDefault="00AC1E6C" w:rsidP="007E6C30">
            <w:pPr>
              <w:rPr>
                <w:rFonts w:cs="Arial"/>
              </w:rPr>
            </w:pPr>
            <w:r>
              <w:rPr>
                <w:rFonts w:cs="Arial"/>
              </w:rPr>
              <w:t>24</w:t>
            </w:r>
            <w:r w:rsidR="007E6C30" w:rsidRPr="00B3065F">
              <w:rPr>
                <w:rFonts w:cs="Arial"/>
              </w:rPr>
              <w:t>.</w:t>
            </w:r>
            <w:r w:rsidR="006C69A6">
              <w:rPr>
                <w:rFonts w:cs="Arial"/>
              </w:rPr>
              <w:t>0</w:t>
            </w:r>
            <w:r>
              <w:rPr>
                <w:rFonts w:cs="Arial"/>
              </w:rPr>
              <w:t>4</w:t>
            </w:r>
            <w:r w:rsidR="007E6C30" w:rsidRPr="00B3065F">
              <w:rPr>
                <w:rFonts w:cs="Arial"/>
              </w:rPr>
              <w:t>.20</w:t>
            </w:r>
            <w:r w:rsidR="006C69A6">
              <w:rPr>
                <w:rFonts w:cs="Arial"/>
              </w:rPr>
              <w:t>2</w:t>
            </w:r>
            <w:r>
              <w:rPr>
                <w:rFonts w:cs="Arial"/>
              </w:rPr>
              <w:t>5</w:t>
            </w:r>
            <w:r w:rsidR="007E6C30" w:rsidRPr="00B3065F">
              <w:rPr>
                <w:rFonts w:cs="Arial"/>
              </w:rPr>
              <w:t>.</w:t>
            </w:r>
          </w:p>
        </w:tc>
        <w:tc>
          <w:tcPr>
            <w:tcW w:w="1466" w:type="dxa"/>
          </w:tcPr>
          <w:p w14:paraId="252AE173" w14:textId="77777777" w:rsidR="007E6C30" w:rsidRPr="00B3065F" w:rsidRDefault="007E6C30" w:rsidP="00C20AD7">
            <w:pPr>
              <w:jc w:val="center"/>
              <w:rPr>
                <w:rFonts w:cs="Arial"/>
              </w:rPr>
            </w:pPr>
            <w:r w:rsidRPr="00B3065F">
              <w:rPr>
                <w:rFonts w:cs="Arial"/>
              </w:rPr>
              <w:t>V</w:t>
            </w:r>
            <w:r w:rsidR="00C20AD7" w:rsidRPr="00B3065F">
              <w:rPr>
                <w:rFonts w:cs="Arial"/>
              </w:rPr>
              <w:t>1.</w:t>
            </w:r>
            <w:r w:rsidRPr="00B3065F">
              <w:rPr>
                <w:rFonts w:cs="Arial"/>
              </w:rPr>
              <w:t>0</w:t>
            </w:r>
          </w:p>
        </w:tc>
        <w:tc>
          <w:tcPr>
            <w:tcW w:w="5806" w:type="dxa"/>
          </w:tcPr>
          <w:p w14:paraId="7917B385" w14:textId="77777777" w:rsidR="007E6C30" w:rsidRPr="00FF10C4" w:rsidRDefault="007E6C30" w:rsidP="007E6C30">
            <w:pPr>
              <w:rPr>
                <w:rFonts w:cs="Arial"/>
              </w:rPr>
            </w:pPr>
            <w:r w:rsidRPr="00B3065F">
              <w:rPr>
                <w:rFonts w:cs="Arial"/>
              </w:rPr>
              <w:t>Inicijalni dokument</w:t>
            </w:r>
          </w:p>
        </w:tc>
      </w:tr>
      <w:tr w:rsidR="00796C20" w:rsidRPr="00F24D31" w14:paraId="6205931F" w14:textId="77777777" w:rsidTr="00C20AD7">
        <w:trPr>
          <w:trHeight w:val="411"/>
        </w:trPr>
        <w:tc>
          <w:tcPr>
            <w:tcW w:w="1790" w:type="dxa"/>
          </w:tcPr>
          <w:p w14:paraId="75C3E860" w14:textId="21E74826" w:rsidR="00796C20" w:rsidRPr="008B6524" w:rsidRDefault="00796C20" w:rsidP="00796C20">
            <w:pPr>
              <w:rPr>
                <w:rFonts w:cs="Arial"/>
              </w:rPr>
            </w:pPr>
          </w:p>
        </w:tc>
        <w:tc>
          <w:tcPr>
            <w:tcW w:w="1466" w:type="dxa"/>
          </w:tcPr>
          <w:p w14:paraId="77B6A468" w14:textId="40C78B42" w:rsidR="00796C20" w:rsidRPr="008B6524" w:rsidRDefault="00796C20" w:rsidP="00796C20">
            <w:pPr>
              <w:jc w:val="center"/>
              <w:rPr>
                <w:rFonts w:cs="Arial"/>
              </w:rPr>
            </w:pPr>
          </w:p>
        </w:tc>
        <w:tc>
          <w:tcPr>
            <w:tcW w:w="5806" w:type="dxa"/>
          </w:tcPr>
          <w:p w14:paraId="34CE1B99" w14:textId="42363852" w:rsidR="00796C20" w:rsidRPr="00C20AD7" w:rsidRDefault="00796C20" w:rsidP="00796C20">
            <w:pPr>
              <w:rPr>
                <w:rFonts w:cs="Arial"/>
              </w:rPr>
            </w:pPr>
          </w:p>
        </w:tc>
      </w:tr>
      <w:tr w:rsidR="00B56759" w:rsidRPr="00F24D31" w14:paraId="66448CA2" w14:textId="77777777" w:rsidTr="00C20AD7">
        <w:trPr>
          <w:trHeight w:val="418"/>
        </w:trPr>
        <w:tc>
          <w:tcPr>
            <w:tcW w:w="1790" w:type="dxa"/>
          </w:tcPr>
          <w:p w14:paraId="0AEA049A" w14:textId="27930DE1" w:rsidR="00B56759" w:rsidRPr="00DC77E3" w:rsidRDefault="00B56759" w:rsidP="00B56759">
            <w:pPr>
              <w:rPr>
                <w:rFonts w:cs="Arial"/>
                <w:highlight w:val="yellow"/>
              </w:rPr>
            </w:pPr>
          </w:p>
        </w:tc>
        <w:tc>
          <w:tcPr>
            <w:tcW w:w="1466" w:type="dxa"/>
          </w:tcPr>
          <w:p w14:paraId="4EBF307B" w14:textId="2F428FCA" w:rsidR="00B56759" w:rsidRPr="00F24D31" w:rsidRDefault="00B56759" w:rsidP="00B56759">
            <w:pPr>
              <w:jc w:val="center"/>
              <w:rPr>
                <w:rFonts w:cs="Arial"/>
              </w:rPr>
            </w:pPr>
          </w:p>
        </w:tc>
        <w:tc>
          <w:tcPr>
            <w:tcW w:w="5806" w:type="dxa"/>
          </w:tcPr>
          <w:p w14:paraId="17B3C2CA" w14:textId="6A67E82A" w:rsidR="00B56759" w:rsidRPr="00C20AD7" w:rsidRDefault="00B56759" w:rsidP="00B56759">
            <w:pPr>
              <w:rPr>
                <w:rFonts w:cs="Arial"/>
              </w:rPr>
            </w:pPr>
          </w:p>
        </w:tc>
      </w:tr>
      <w:tr w:rsidR="00B56759" w:rsidRPr="00F24D31" w14:paraId="7A10DF1C" w14:textId="77777777" w:rsidTr="00C20AD7">
        <w:trPr>
          <w:trHeight w:val="408"/>
        </w:trPr>
        <w:tc>
          <w:tcPr>
            <w:tcW w:w="1790" w:type="dxa"/>
          </w:tcPr>
          <w:p w14:paraId="6ED4071A" w14:textId="77777777" w:rsidR="00B56759" w:rsidRPr="00F24D31" w:rsidRDefault="00B56759" w:rsidP="00B56759">
            <w:pPr>
              <w:rPr>
                <w:rFonts w:cs="Arial"/>
              </w:rPr>
            </w:pPr>
          </w:p>
        </w:tc>
        <w:tc>
          <w:tcPr>
            <w:tcW w:w="1466" w:type="dxa"/>
          </w:tcPr>
          <w:p w14:paraId="572171FF" w14:textId="77777777" w:rsidR="00B56759" w:rsidRPr="00F24D31" w:rsidRDefault="00B56759" w:rsidP="00B56759">
            <w:pPr>
              <w:rPr>
                <w:rFonts w:cs="Arial"/>
              </w:rPr>
            </w:pPr>
          </w:p>
        </w:tc>
        <w:tc>
          <w:tcPr>
            <w:tcW w:w="5806" w:type="dxa"/>
          </w:tcPr>
          <w:p w14:paraId="391F1FB9" w14:textId="77777777" w:rsidR="00B56759" w:rsidRPr="00F24D31" w:rsidRDefault="00B56759" w:rsidP="00B56759">
            <w:pPr>
              <w:rPr>
                <w:rFonts w:cs="Arial"/>
              </w:rPr>
            </w:pPr>
          </w:p>
        </w:tc>
      </w:tr>
    </w:tbl>
    <w:p w14:paraId="744C2C61" w14:textId="77777777" w:rsidR="0053575F" w:rsidRDefault="0053575F">
      <w:pPr>
        <w:spacing w:after="160" w:line="259" w:lineRule="auto"/>
        <w:jc w:val="left"/>
      </w:pPr>
      <w:r>
        <w:br w:type="page"/>
      </w:r>
    </w:p>
    <w:p w14:paraId="294F8525" w14:textId="77777777" w:rsidR="0053575F" w:rsidRPr="00354FFB" w:rsidRDefault="0053575F" w:rsidP="00354FFB">
      <w:pPr>
        <w:pStyle w:val="TOC1"/>
      </w:pPr>
      <w:r w:rsidRPr="00354FFB">
        <w:lastRenderedPageBreak/>
        <w:t>Sadržaj</w:t>
      </w:r>
    </w:p>
    <w:p w14:paraId="6AB39250" w14:textId="77777777" w:rsidR="00C40BE8" w:rsidRPr="00C40BE8" w:rsidRDefault="00C40BE8" w:rsidP="00C40BE8"/>
    <w:sdt>
      <w:sdtPr>
        <w:id w:val="1236288328"/>
        <w:docPartObj>
          <w:docPartGallery w:val="Table of Contents"/>
          <w:docPartUnique/>
        </w:docPartObj>
      </w:sdtPr>
      <w:sdtEndPr>
        <w:rPr>
          <w:bCs/>
        </w:rPr>
      </w:sdtEndPr>
      <w:sdtContent>
        <w:p w14:paraId="0600F7E9" w14:textId="77777777" w:rsidR="00E16604" w:rsidRDefault="002F6630" w:rsidP="00E16604">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7873677" w:history="1">
            <w:r w:rsidR="00E16604" w:rsidRPr="006801DC">
              <w:rPr>
                <w:rStyle w:val="Hyperlink"/>
              </w:rPr>
              <w:t>I</w:t>
            </w:r>
            <w:r w:rsidR="00E16604">
              <w:rPr>
                <w:rFonts w:asciiTheme="minorHAnsi" w:hAnsiTheme="minorHAnsi"/>
                <w:b w:val="0"/>
                <w:smallCaps w:val="0"/>
                <w:color w:val="auto"/>
                <w:sz w:val="22"/>
              </w:rPr>
              <w:tab/>
            </w:r>
            <w:r w:rsidR="00E16604" w:rsidRPr="006801DC">
              <w:rPr>
                <w:rStyle w:val="Hyperlink"/>
              </w:rPr>
              <w:t>Namjena</w:t>
            </w:r>
            <w:r w:rsidR="00E16604">
              <w:rPr>
                <w:webHidden/>
              </w:rPr>
              <w:tab/>
            </w:r>
            <w:r w:rsidR="00E16604">
              <w:rPr>
                <w:webHidden/>
              </w:rPr>
              <w:fldChar w:fldCharType="begin"/>
            </w:r>
            <w:r w:rsidR="00E16604">
              <w:rPr>
                <w:webHidden/>
              </w:rPr>
              <w:instrText xml:space="preserve"> PAGEREF _Toc477873677 \h </w:instrText>
            </w:r>
            <w:r w:rsidR="00E16604">
              <w:rPr>
                <w:webHidden/>
              </w:rPr>
            </w:r>
            <w:r w:rsidR="00E16604">
              <w:rPr>
                <w:webHidden/>
              </w:rPr>
              <w:fldChar w:fldCharType="separate"/>
            </w:r>
            <w:r w:rsidR="00B56759">
              <w:rPr>
                <w:webHidden/>
              </w:rPr>
              <w:t>2</w:t>
            </w:r>
            <w:r w:rsidR="00E16604">
              <w:rPr>
                <w:webHidden/>
              </w:rPr>
              <w:fldChar w:fldCharType="end"/>
            </w:r>
          </w:hyperlink>
        </w:p>
        <w:p w14:paraId="6E3347E2"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8" w:history="1">
            <w:r w:rsidRPr="006801DC">
              <w:rPr>
                <w:rStyle w:val="Hyperlink"/>
              </w:rPr>
              <w:t>II</w:t>
            </w:r>
            <w:r>
              <w:rPr>
                <w:rFonts w:asciiTheme="minorHAnsi" w:hAnsiTheme="minorHAnsi"/>
                <w:b w:val="0"/>
                <w:smallCaps w:val="0"/>
                <w:color w:val="auto"/>
                <w:sz w:val="22"/>
              </w:rPr>
              <w:tab/>
            </w:r>
            <w:r w:rsidRPr="006801DC">
              <w:rPr>
                <w:rStyle w:val="Hyperlink"/>
              </w:rPr>
              <w:t>Doseg</w:t>
            </w:r>
            <w:r>
              <w:rPr>
                <w:webHidden/>
              </w:rPr>
              <w:tab/>
            </w:r>
            <w:r>
              <w:rPr>
                <w:webHidden/>
              </w:rPr>
              <w:fldChar w:fldCharType="begin"/>
            </w:r>
            <w:r>
              <w:rPr>
                <w:webHidden/>
              </w:rPr>
              <w:instrText xml:space="preserve"> PAGEREF _Toc477873678 \h </w:instrText>
            </w:r>
            <w:r>
              <w:rPr>
                <w:webHidden/>
              </w:rPr>
            </w:r>
            <w:r>
              <w:rPr>
                <w:webHidden/>
              </w:rPr>
              <w:fldChar w:fldCharType="separate"/>
            </w:r>
            <w:r w:rsidR="00B56759">
              <w:rPr>
                <w:webHidden/>
              </w:rPr>
              <w:t>2</w:t>
            </w:r>
            <w:r>
              <w:rPr>
                <w:webHidden/>
              </w:rPr>
              <w:fldChar w:fldCharType="end"/>
            </w:r>
          </w:hyperlink>
        </w:p>
        <w:p w14:paraId="4059A9A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9" w:history="1">
            <w:r w:rsidRPr="006801DC">
              <w:rPr>
                <w:rStyle w:val="Hyperlink"/>
              </w:rPr>
              <w:t>III</w:t>
            </w:r>
            <w:r>
              <w:rPr>
                <w:rFonts w:asciiTheme="minorHAnsi" w:hAnsiTheme="minorHAnsi"/>
                <w:b w:val="0"/>
                <w:smallCaps w:val="0"/>
                <w:color w:val="auto"/>
                <w:sz w:val="22"/>
              </w:rPr>
              <w:tab/>
            </w:r>
            <w:r w:rsidRPr="006801DC">
              <w:rPr>
                <w:rStyle w:val="Hyperlink"/>
              </w:rPr>
              <w:t>Odgovornosti za provedbu</w:t>
            </w:r>
            <w:r>
              <w:rPr>
                <w:webHidden/>
              </w:rPr>
              <w:tab/>
            </w:r>
            <w:r>
              <w:rPr>
                <w:webHidden/>
              </w:rPr>
              <w:fldChar w:fldCharType="begin"/>
            </w:r>
            <w:r>
              <w:rPr>
                <w:webHidden/>
              </w:rPr>
              <w:instrText xml:space="preserve"> PAGEREF _Toc477873679 \h </w:instrText>
            </w:r>
            <w:r>
              <w:rPr>
                <w:webHidden/>
              </w:rPr>
            </w:r>
            <w:r>
              <w:rPr>
                <w:webHidden/>
              </w:rPr>
              <w:fldChar w:fldCharType="separate"/>
            </w:r>
            <w:r w:rsidR="00B56759">
              <w:rPr>
                <w:webHidden/>
              </w:rPr>
              <w:t>2</w:t>
            </w:r>
            <w:r>
              <w:rPr>
                <w:webHidden/>
              </w:rPr>
              <w:fldChar w:fldCharType="end"/>
            </w:r>
          </w:hyperlink>
        </w:p>
        <w:p w14:paraId="4ACF465C"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0" w:history="1">
            <w:r w:rsidRPr="006801DC">
              <w:rPr>
                <w:rStyle w:val="Hyperlink"/>
              </w:rPr>
              <w:t>IV</w:t>
            </w:r>
            <w:r>
              <w:rPr>
                <w:rFonts w:asciiTheme="minorHAnsi" w:hAnsiTheme="minorHAnsi"/>
                <w:b w:val="0"/>
                <w:smallCaps w:val="0"/>
                <w:color w:val="auto"/>
                <w:sz w:val="22"/>
              </w:rPr>
              <w:tab/>
            </w:r>
            <w:r w:rsidRPr="006801DC">
              <w:rPr>
                <w:rStyle w:val="Hyperlink"/>
              </w:rPr>
              <w:t>Postupak upravljanja rizicima informacijske sigurnosti</w:t>
            </w:r>
            <w:r>
              <w:rPr>
                <w:webHidden/>
              </w:rPr>
              <w:tab/>
            </w:r>
            <w:r>
              <w:rPr>
                <w:webHidden/>
              </w:rPr>
              <w:fldChar w:fldCharType="begin"/>
            </w:r>
            <w:r>
              <w:rPr>
                <w:webHidden/>
              </w:rPr>
              <w:instrText xml:space="preserve"> PAGEREF _Toc477873680 \h </w:instrText>
            </w:r>
            <w:r>
              <w:rPr>
                <w:webHidden/>
              </w:rPr>
            </w:r>
            <w:r>
              <w:rPr>
                <w:webHidden/>
              </w:rPr>
              <w:fldChar w:fldCharType="separate"/>
            </w:r>
            <w:r w:rsidR="00B56759">
              <w:rPr>
                <w:webHidden/>
              </w:rPr>
              <w:t>2</w:t>
            </w:r>
            <w:r>
              <w:rPr>
                <w:webHidden/>
              </w:rPr>
              <w:fldChar w:fldCharType="end"/>
            </w:r>
          </w:hyperlink>
        </w:p>
        <w:p w14:paraId="0CCB2293" w14:textId="77777777" w:rsidR="00E16604" w:rsidRDefault="00E16604" w:rsidP="00E16604">
          <w:pPr>
            <w:pStyle w:val="TOC2"/>
            <w:tabs>
              <w:tab w:val="right" w:leader="dot" w:pos="9062"/>
            </w:tabs>
            <w:rPr>
              <w:rFonts w:asciiTheme="minorHAnsi" w:hAnsiTheme="minorHAnsi"/>
              <w:noProof/>
              <w:sz w:val="22"/>
            </w:rPr>
          </w:pPr>
          <w:hyperlink w:anchor="_Toc477873681" w:history="1">
            <w:r w:rsidRPr="006801DC">
              <w:rPr>
                <w:rStyle w:val="Hyperlink"/>
                <w:noProof/>
              </w:rPr>
              <w:t>Identifikacija i vrednovanje informacijske imovine</w:t>
            </w:r>
            <w:r>
              <w:rPr>
                <w:noProof/>
                <w:webHidden/>
              </w:rPr>
              <w:tab/>
            </w:r>
            <w:r>
              <w:rPr>
                <w:noProof/>
                <w:webHidden/>
              </w:rPr>
              <w:fldChar w:fldCharType="begin"/>
            </w:r>
            <w:r>
              <w:rPr>
                <w:noProof/>
                <w:webHidden/>
              </w:rPr>
              <w:instrText xml:space="preserve"> PAGEREF _Toc477873681 \h </w:instrText>
            </w:r>
            <w:r>
              <w:rPr>
                <w:noProof/>
                <w:webHidden/>
              </w:rPr>
            </w:r>
            <w:r>
              <w:rPr>
                <w:noProof/>
                <w:webHidden/>
              </w:rPr>
              <w:fldChar w:fldCharType="separate"/>
            </w:r>
            <w:r w:rsidR="00B56759">
              <w:rPr>
                <w:noProof/>
                <w:webHidden/>
              </w:rPr>
              <w:t>2</w:t>
            </w:r>
            <w:r>
              <w:rPr>
                <w:noProof/>
                <w:webHidden/>
              </w:rPr>
              <w:fldChar w:fldCharType="end"/>
            </w:r>
          </w:hyperlink>
        </w:p>
        <w:p w14:paraId="67FA0B23" w14:textId="77777777" w:rsidR="00E16604" w:rsidRDefault="00E16604" w:rsidP="00E16604">
          <w:pPr>
            <w:pStyle w:val="TOC2"/>
            <w:tabs>
              <w:tab w:val="right" w:leader="dot" w:pos="9062"/>
            </w:tabs>
            <w:rPr>
              <w:rFonts w:asciiTheme="minorHAnsi" w:hAnsiTheme="minorHAnsi"/>
              <w:noProof/>
              <w:sz w:val="22"/>
            </w:rPr>
          </w:pPr>
          <w:hyperlink w:anchor="_Toc477873682" w:history="1">
            <w:r w:rsidRPr="006801DC">
              <w:rPr>
                <w:rStyle w:val="Hyperlink"/>
                <w:noProof/>
              </w:rPr>
              <w:t>Snimka i popisivanje informacijske imovine</w:t>
            </w:r>
            <w:r>
              <w:rPr>
                <w:noProof/>
                <w:webHidden/>
              </w:rPr>
              <w:tab/>
            </w:r>
            <w:r>
              <w:rPr>
                <w:noProof/>
                <w:webHidden/>
              </w:rPr>
              <w:fldChar w:fldCharType="begin"/>
            </w:r>
            <w:r>
              <w:rPr>
                <w:noProof/>
                <w:webHidden/>
              </w:rPr>
              <w:instrText xml:space="preserve"> PAGEREF _Toc477873682 \h </w:instrText>
            </w:r>
            <w:r>
              <w:rPr>
                <w:noProof/>
                <w:webHidden/>
              </w:rPr>
            </w:r>
            <w:r>
              <w:rPr>
                <w:noProof/>
                <w:webHidden/>
              </w:rPr>
              <w:fldChar w:fldCharType="separate"/>
            </w:r>
            <w:r w:rsidR="00B56759">
              <w:rPr>
                <w:noProof/>
                <w:webHidden/>
              </w:rPr>
              <w:t>2</w:t>
            </w:r>
            <w:r>
              <w:rPr>
                <w:noProof/>
                <w:webHidden/>
              </w:rPr>
              <w:fldChar w:fldCharType="end"/>
            </w:r>
          </w:hyperlink>
        </w:p>
        <w:p w14:paraId="7E8A1E38" w14:textId="77777777" w:rsidR="00E16604" w:rsidRDefault="00E16604" w:rsidP="00E16604">
          <w:pPr>
            <w:pStyle w:val="TOC2"/>
            <w:tabs>
              <w:tab w:val="right" w:leader="dot" w:pos="9062"/>
            </w:tabs>
            <w:rPr>
              <w:rFonts w:asciiTheme="minorHAnsi" w:hAnsiTheme="minorHAnsi"/>
              <w:noProof/>
              <w:sz w:val="22"/>
            </w:rPr>
          </w:pPr>
          <w:hyperlink w:anchor="_Toc477873683" w:history="1">
            <w:r w:rsidRPr="006801DC">
              <w:rPr>
                <w:rStyle w:val="Hyperlink"/>
                <w:noProof/>
              </w:rPr>
              <w:t>Vrednovanje informacijske imovine</w:t>
            </w:r>
            <w:r>
              <w:rPr>
                <w:noProof/>
                <w:webHidden/>
              </w:rPr>
              <w:tab/>
            </w:r>
            <w:r>
              <w:rPr>
                <w:noProof/>
                <w:webHidden/>
              </w:rPr>
              <w:fldChar w:fldCharType="begin"/>
            </w:r>
            <w:r>
              <w:rPr>
                <w:noProof/>
                <w:webHidden/>
              </w:rPr>
              <w:instrText xml:space="preserve"> PAGEREF _Toc477873683 \h </w:instrText>
            </w:r>
            <w:r>
              <w:rPr>
                <w:noProof/>
                <w:webHidden/>
              </w:rPr>
            </w:r>
            <w:r>
              <w:rPr>
                <w:noProof/>
                <w:webHidden/>
              </w:rPr>
              <w:fldChar w:fldCharType="separate"/>
            </w:r>
            <w:r w:rsidR="00B56759">
              <w:rPr>
                <w:noProof/>
                <w:webHidden/>
              </w:rPr>
              <w:t>2</w:t>
            </w:r>
            <w:r>
              <w:rPr>
                <w:noProof/>
                <w:webHidden/>
              </w:rPr>
              <w:fldChar w:fldCharType="end"/>
            </w:r>
          </w:hyperlink>
        </w:p>
        <w:p w14:paraId="13B648C0" w14:textId="77777777" w:rsidR="00E16604" w:rsidRDefault="00E16604" w:rsidP="00E16604">
          <w:pPr>
            <w:pStyle w:val="TOC2"/>
            <w:tabs>
              <w:tab w:val="right" w:leader="dot" w:pos="9062"/>
            </w:tabs>
            <w:rPr>
              <w:rFonts w:asciiTheme="minorHAnsi" w:hAnsiTheme="minorHAnsi"/>
              <w:noProof/>
              <w:sz w:val="22"/>
            </w:rPr>
          </w:pPr>
          <w:hyperlink w:anchor="_Toc477873684" w:history="1">
            <w:r w:rsidRPr="006801DC">
              <w:rPr>
                <w:rStyle w:val="Hyperlink"/>
                <w:noProof/>
              </w:rPr>
              <w:t>Određivanje obilježja informacijske imovine</w:t>
            </w:r>
            <w:r>
              <w:rPr>
                <w:noProof/>
                <w:webHidden/>
              </w:rPr>
              <w:tab/>
            </w:r>
            <w:r>
              <w:rPr>
                <w:noProof/>
                <w:webHidden/>
              </w:rPr>
              <w:fldChar w:fldCharType="begin"/>
            </w:r>
            <w:r>
              <w:rPr>
                <w:noProof/>
                <w:webHidden/>
              </w:rPr>
              <w:instrText xml:space="preserve"> PAGEREF _Toc477873684 \h </w:instrText>
            </w:r>
            <w:r>
              <w:rPr>
                <w:noProof/>
                <w:webHidden/>
              </w:rPr>
            </w:r>
            <w:r>
              <w:rPr>
                <w:noProof/>
                <w:webHidden/>
              </w:rPr>
              <w:fldChar w:fldCharType="separate"/>
            </w:r>
            <w:r w:rsidR="00B56759">
              <w:rPr>
                <w:noProof/>
                <w:webHidden/>
              </w:rPr>
              <w:t>2</w:t>
            </w:r>
            <w:r>
              <w:rPr>
                <w:noProof/>
                <w:webHidden/>
              </w:rPr>
              <w:fldChar w:fldCharType="end"/>
            </w:r>
          </w:hyperlink>
        </w:p>
        <w:p w14:paraId="5311B1B6" w14:textId="77777777" w:rsidR="00E16604" w:rsidRDefault="00E16604" w:rsidP="00E16604">
          <w:pPr>
            <w:pStyle w:val="TOC2"/>
            <w:tabs>
              <w:tab w:val="right" w:leader="dot" w:pos="9062"/>
            </w:tabs>
            <w:rPr>
              <w:rFonts w:asciiTheme="minorHAnsi" w:hAnsiTheme="minorHAnsi"/>
              <w:noProof/>
              <w:sz w:val="22"/>
            </w:rPr>
          </w:pPr>
          <w:hyperlink w:anchor="_Toc477873685" w:history="1">
            <w:r w:rsidRPr="006801DC">
              <w:rPr>
                <w:rStyle w:val="Hyperlink"/>
                <w:noProof/>
              </w:rPr>
              <w:t>Filtriranje imovine</w:t>
            </w:r>
            <w:r>
              <w:rPr>
                <w:noProof/>
                <w:webHidden/>
              </w:rPr>
              <w:tab/>
            </w:r>
            <w:r>
              <w:rPr>
                <w:noProof/>
                <w:webHidden/>
              </w:rPr>
              <w:fldChar w:fldCharType="begin"/>
            </w:r>
            <w:r>
              <w:rPr>
                <w:noProof/>
                <w:webHidden/>
              </w:rPr>
              <w:instrText xml:space="preserve"> PAGEREF _Toc477873685 \h </w:instrText>
            </w:r>
            <w:r>
              <w:rPr>
                <w:noProof/>
                <w:webHidden/>
              </w:rPr>
            </w:r>
            <w:r>
              <w:rPr>
                <w:noProof/>
                <w:webHidden/>
              </w:rPr>
              <w:fldChar w:fldCharType="separate"/>
            </w:r>
            <w:r w:rsidR="00B56759">
              <w:rPr>
                <w:noProof/>
                <w:webHidden/>
              </w:rPr>
              <w:t>2</w:t>
            </w:r>
            <w:r>
              <w:rPr>
                <w:noProof/>
                <w:webHidden/>
              </w:rPr>
              <w:fldChar w:fldCharType="end"/>
            </w:r>
          </w:hyperlink>
        </w:p>
        <w:p w14:paraId="68DB634A" w14:textId="77777777" w:rsidR="00E16604" w:rsidRDefault="00E16604" w:rsidP="00E16604">
          <w:pPr>
            <w:pStyle w:val="TOC2"/>
            <w:tabs>
              <w:tab w:val="right" w:leader="dot" w:pos="9062"/>
            </w:tabs>
            <w:rPr>
              <w:rFonts w:asciiTheme="minorHAnsi" w:hAnsiTheme="minorHAnsi"/>
              <w:noProof/>
              <w:sz w:val="22"/>
            </w:rPr>
          </w:pPr>
          <w:hyperlink w:anchor="_Toc477873686" w:history="1">
            <w:r w:rsidRPr="006801DC">
              <w:rPr>
                <w:rStyle w:val="Hyperlink"/>
                <w:noProof/>
              </w:rPr>
              <w:t>Procjena rizika</w:t>
            </w:r>
            <w:r>
              <w:rPr>
                <w:noProof/>
                <w:webHidden/>
              </w:rPr>
              <w:tab/>
            </w:r>
            <w:r>
              <w:rPr>
                <w:noProof/>
                <w:webHidden/>
              </w:rPr>
              <w:fldChar w:fldCharType="begin"/>
            </w:r>
            <w:r>
              <w:rPr>
                <w:noProof/>
                <w:webHidden/>
              </w:rPr>
              <w:instrText xml:space="preserve"> PAGEREF _Toc477873686 \h </w:instrText>
            </w:r>
            <w:r>
              <w:rPr>
                <w:noProof/>
                <w:webHidden/>
              </w:rPr>
            </w:r>
            <w:r>
              <w:rPr>
                <w:noProof/>
                <w:webHidden/>
              </w:rPr>
              <w:fldChar w:fldCharType="separate"/>
            </w:r>
            <w:r w:rsidR="00B56759">
              <w:rPr>
                <w:noProof/>
                <w:webHidden/>
              </w:rPr>
              <w:t>2</w:t>
            </w:r>
            <w:r>
              <w:rPr>
                <w:noProof/>
                <w:webHidden/>
              </w:rPr>
              <w:fldChar w:fldCharType="end"/>
            </w:r>
          </w:hyperlink>
        </w:p>
        <w:p w14:paraId="437CF55C" w14:textId="77777777" w:rsidR="00E16604" w:rsidRDefault="00E16604" w:rsidP="00E16604">
          <w:pPr>
            <w:pStyle w:val="TOC2"/>
            <w:tabs>
              <w:tab w:val="right" w:leader="dot" w:pos="9062"/>
            </w:tabs>
            <w:rPr>
              <w:rFonts w:asciiTheme="minorHAnsi" w:hAnsiTheme="minorHAnsi"/>
              <w:noProof/>
              <w:sz w:val="22"/>
            </w:rPr>
          </w:pPr>
          <w:hyperlink w:anchor="_Toc477873687" w:history="1">
            <w:r w:rsidRPr="006801DC">
              <w:rPr>
                <w:rStyle w:val="Hyperlink"/>
                <w:noProof/>
              </w:rPr>
              <w:t>Identifikacija primjenjivih prijetnji, ranjivosti i priprema kataloga rizika</w:t>
            </w:r>
            <w:r>
              <w:rPr>
                <w:noProof/>
                <w:webHidden/>
              </w:rPr>
              <w:tab/>
            </w:r>
            <w:r>
              <w:rPr>
                <w:noProof/>
                <w:webHidden/>
              </w:rPr>
              <w:fldChar w:fldCharType="begin"/>
            </w:r>
            <w:r>
              <w:rPr>
                <w:noProof/>
                <w:webHidden/>
              </w:rPr>
              <w:instrText xml:space="preserve"> PAGEREF _Toc477873687 \h </w:instrText>
            </w:r>
            <w:r>
              <w:rPr>
                <w:noProof/>
                <w:webHidden/>
              </w:rPr>
            </w:r>
            <w:r>
              <w:rPr>
                <w:noProof/>
                <w:webHidden/>
              </w:rPr>
              <w:fldChar w:fldCharType="separate"/>
            </w:r>
            <w:r w:rsidR="00B56759">
              <w:rPr>
                <w:noProof/>
                <w:webHidden/>
              </w:rPr>
              <w:t>2</w:t>
            </w:r>
            <w:r>
              <w:rPr>
                <w:noProof/>
                <w:webHidden/>
              </w:rPr>
              <w:fldChar w:fldCharType="end"/>
            </w:r>
          </w:hyperlink>
        </w:p>
        <w:p w14:paraId="2BDD9E58" w14:textId="77777777" w:rsidR="00E16604" w:rsidRDefault="00E16604" w:rsidP="00E16604">
          <w:pPr>
            <w:pStyle w:val="TOC2"/>
            <w:tabs>
              <w:tab w:val="right" w:leader="dot" w:pos="9062"/>
            </w:tabs>
            <w:rPr>
              <w:rFonts w:asciiTheme="minorHAnsi" w:hAnsiTheme="minorHAnsi"/>
              <w:noProof/>
              <w:sz w:val="22"/>
            </w:rPr>
          </w:pPr>
          <w:hyperlink w:anchor="_Toc477873688" w:history="1">
            <w:r w:rsidRPr="006801DC">
              <w:rPr>
                <w:rStyle w:val="Hyperlink"/>
                <w:noProof/>
              </w:rPr>
              <w:t>Vrednovanje i izračun rizika informacijske sigurnosti</w:t>
            </w:r>
            <w:r>
              <w:rPr>
                <w:noProof/>
                <w:webHidden/>
              </w:rPr>
              <w:tab/>
            </w:r>
            <w:r>
              <w:rPr>
                <w:noProof/>
                <w:webHidden/>
              </w:rPr>
              <w:fldChar w:fldCharType="begin"/>
            </w:r>
            <w:r>
              <w:rPr>
                <w:noProof/>
                <w:webHidden/>
              </w:rPr>
              <w:instrText xml:space="preserve"> PAGEREF _Toc477873688 \h </w:instrText>
            </w:r>
            <w:r>
              <w:rPr>
                <w:noProof/>
                <w:webHidden/>
              </w:rPr>
            </w:r>
            <w:r>
              <w:rPr>
                <w:noProof/>
                <w:webHidden/>
              </w:rPr>
              <w:fldChar w:fldCharType="separate"/>
            </w:r>
            <w:r w:rsidR="00B56759">
              <w:rPr>
                <w:noProof/>
                <w:webHidden/>
              </w:rPr>
              <w:t>2</w:t>
            </w:r>
            <w:r>
              <w:rPr>
                <w:noProof/>
                <w:webHidden/>
              </w:rPr>
              <w:fldChar w:fldCharType="end"/>
            </w:r>
          </w:hyperlink>
        </w:p>
        <w:p w14:paraId="70105A3A"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9" w:history="1">
            <w:r w:rsidRPr="006801DC">
              <w:rPr>
                <w:rStyle w:val="Hyperlink"/>
              </w:rPr>
              <w:t>V</w:t>
            </w:r>
            <w:r>
              <w:rPr>
                <w:rFonts w:asciiTheme="minorHAnsi" w:hAnsiTheme="minorHAnsi"/>
                <w:b w:val="0"/>
                <w:smallCaps w:val="0"/>
                <w:color w:val="auto"/>
                <w:sz w:val="22"/>
              </w:rPr>
              <w:tab/>
            </w:r>
            <w:r w:rsidRPr="006801DC">
              <w:rPr>
                <w:rStyle w:val="Hyperlink"/>
              </w:rPr>
              <w:t>Obrada rizika</w:t>
            </w:r>
            <w:r>
              <w:rPr>
                <w:webHidden/>
              </w:rPr>
              <w:tab/>
            </w:r>
            <w:r>
              <w:rPr>
                <w:webHidden/>
              </w:rPr>
              <w:fldChar w:fldCharType="begin"/>
            </w:r>
            <w:r>
              <w:rPr>
                <w:webHidden/>
              </w:rPr>
              <w:instrText xml:space="preserve"> PAGEREF _Toc477873689 \h </w:instrText>
            </w:r>
            <w:r>
              <w:rPr>
                <w:webHidden/>
              </w:rPr>
            </w:r>
            <w:r>
              <w:rPr>
                <w:webHidden/>
              </w:rPr>
              <w:fldChar w:fldCharType="separate"/>
            </w:r>
            <w:r w:rsidR="00B56759">
              <w:rPr>
                <w:webHidden/>
              </w:rPr>
              <w:t>2</w:t>
            </w:r>
            <w:r>
              <w:rPr>
                <w:webHidden/>
              </w:rPr>
              <w:fldChar w:fldCharType="end"/>
            </w:r>
          </w:hyperlink>
        </w:p>
        <w:p w14:paraId="3E624F1E" w14:textId="77777777" w:rsidR="00E16604" w:rsidRDefault="00E16604" w:rsidP="00E16604">
          <w:pPr>
            <w:pStyle w:val="TOC2"/>
            <w:tabs>
              <w:tab w:val="right" w:leader="dot" w:pos="9062"/>
            </w:tabs>
            <w:rPr>
              <w:rFonts w:asciiTheme="minorHAnsi" w:hAnsiTheme="minorHAnsi"/>
              <w:noProof/>
              <w:sz w:val="22"/>
            </w:rPr>
          </w:pPr>
          <w:hyperlink w:anchor="_Toc477873690" w:history="1">
            <w:r w:rsidRPr="006801DC">
              <w:rPr>
                <w:rStyle w:val="Hyperlink"/>
                <w:noProof/>
              </w:rPr>
              <w:t>Odabir opcija za obradu rizika</w:t>
            </w:r>
            <w:r>
              <w:rPr>
                <w:noProof/>
                <w:webHidden/>
              </w:rPr>
              <w:tab/>
            </w:r>
            <w:r>
              <w:rPr>
                <w:noProof/>
                <w:webHidden/>
              </w:rPr>
              <w:fldChar w:fldCharType="begin"/>
            </w:r>
            <w:r>
              <w:rPr>
                <w:noProof/>
                <w:webHidden/>
              </w:rPr>
              <w:instrText xml:space="preserve"> PAGEREF _Toc477873690 \h </w:instrText>
            </w:r>
            <w:r>
              <w:rPr>
                <w:noProof/>
                <w:webHidden/>
              </w:rPr>
            </w:r>
            <w:r>
              <w:rPr>
                <w:noProof/>
                <w:webHidden/>
              </w:rPr>
              <w:fldChar w:fldCharType="separate"/>
            </w:r>
            <w:r w:rsidR="00B56759">
              <w:rPr>
                <w:noProof/>
                <w:webHidden/>
              </w:rPr>
              <w:t>2</w:t>
            </w:r>
            <w:r>
              <w:rPr>
                <w:noProof/>
                <w:webHidden/>
              </w:rPr>
              <w:fldChar w:fldCharType="end"/>
            </w:r>
          </w:hyperlink>
        </w:p>
        <w:p w14:paraId="5C82090A" w14:textId="77777777" w:rsidR="00E16604" w:rsidRDefault="00E16604" w:rsidP="00E16604">
          <w:pPr>
            <w:pStyle w:val="TOC2"/>
            <w:tabs>
              <w:tab w:val="right" w:leader="dot" w:pos="9062"/>
            </w:tabs>
            <w:rPr>
              <w:rFonts w:asciiTheme="minorHAnsi" w:hAnsiTheme="minorHAnsi"/>
              <w:noProof/>
              <w:sz w:val="22"/>
            </w:rPr>
          </w:pPr>
          <w:hyperlink w:anchor="_Toc477873691" w:history="1">
            <w:r w:rsidRPr="006801DC">
              <w:rPr>
                <w:rStyle w:val="Hyperlink"/>
                <w:noProof/>
              </w:rPr>
              <w:t>Izrada plana obrade rizika</w:t>
            </w:r>
            <w:r>
              <w:rPr>
                <w:noProof/>
                <w:webHidden/>
              </w:rPr>
              <w:tab/>
            </w:r>
            <w:r>
              <w:rPr>
                <w:noProof/>
                <w:webHidden/>
              </w:rPr>
              <w:fldChar w:fldCharType="begin"/>
            </w:r>
            <w:r>
              <w:rPr>
                <w:noProof/>
                <w:webHidden/>
              </w:rPr>
              <w:instrText xml:space="preserve"> PAGEREF _Toc477873691 \h </w:instrText>
            </w:r>
            <w:r>
              <w:rPr>
                <w:noProof/>
                <w:webHidden/>
              </w:rPr>
            </w:r>
            <w:r>
              <w:rPr>
                <w:noProof/>
                <w:webHidden/>
              </w:rPr>
              <w:fldChar w:fldCharType="separate"/>
            </w:r>
            <w:r w:rsidR="00B56759">
              <w:rPr>
                <w:noProof/>
                <w:webHidden/>
              </w:rPr>
              <w:t>2</w:t>
            </w:r>
            <w:r>
              <w:rPr>
                <w:noProof/>
                <w:webHidden/>
              </w:rPr>
              <w:fldChar w:fldCharType="end"/>
            </w:r>
          </w:hyperlink>
        </w:p>
        <w:p w14:paraId="03A1A7F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2" w:history="1">
            <w:r w:rsidRPr="006801DC">
              <w:rPr>
                <w:rStyle w:val="Hyperlink"/>
              </w:rPr>
              <w:t>VI</w:t>
            </w:r>
            <w:r>
              <w:rPr>
                <w:rFonts w:asciiTheme="minorHAnsi" w:hAnsiTheme="minorHAnsi"/>
                <w:b w:val="0"/>
                <w:smallCaps w:val="0"/>
                <w:color w:val="auto"/>
                <w:sz w:val="22"/>
              </w:rPr>
              <w:tab/>
            </w:r>
            <w:r w:rsidRPr="006801DC">
              <w:rPr>
                <w:rStyle w:val="Hyperlink"/>
              </w:rPr>
              <w:t>Upravljanje rizicima informacijske sigurnosti u projektima</w:t>
            </w:r>
            <w:r>
              <w:rPr>
                <w:webHidden/>
              </w:rPr>
              <w:tab/>
            </w:r>
            <w:r>
              <w:rPr>
                <w:webHidden/>
              </w:rPr>
              <w:fldChar w:fldCharType="begin"/>
            </w:r>
            <w:r>
              <w:rPr>
                <w:webHidden/>
              </w:rPr>
              <w:instrText xml:space="preserve"> PAGEREF _Toc477873692 \h </w:instrText>
            </w:r>
            <w:r>
              <w:rPr>
                <w:webHidden/>
              </w:rPr>
            </w:r>
            <w:r>
              <w:rPr>
                <w:webHidden/>
              </w:rPr>
              <w:fldChar w:fldCharType="separate"/>
            </w:r>
            <w:r w:rsidR="00B56759">
              <w:rPr>
                <w:webHidden/>
              </w:rPr>
              <w:t>2</w:t>
            </w:r>
            <w:r>
              <w:rPr>
                <w:webHidden/>
              </w:rPr>
              <w:fldChar w:fldCharType="end"/>
            </w:r>
          </w:hyperlink>
        </w:p>
        <w:p w14:paraId="6BB66934" w14:textId="77777777" w:rsidR="00E16604" w:rsidRDefault="00E16604" w:rsidP="00E16604">
          <w:pPr>
            <w:pStyle w:val="TOC2"/>
            <w:tabs>
              <w:tab w:val="right" w:leader="dot" w:pos="9062"/>
            </w:tabs>
            <w:rPr>
              <w:rFonts w:asciiTheme="minorHAnsi" w:hAnsiTheme="minorHAnsi"/>
              <w:noProof/>
              <w:sz w:val="22"/>
            </w:rPr>
          </w:pPr>
          <w:hyperlink w:anchor="_Toc477873693" w:history="1">
            <w:r w:rsidRPr="006801DC">
              <w:rPr>
                <w:rStyle w:val="Hyperlink"/>
                <w:noProof/>
              </w:rPr>
              <w:t>Projekti koji imaju utjecaj na informacijski sustav</w:t>
            </w:r>
            <w:r>
              <w:rPr>
                <w:noProof/>
                <w:webHidden/>
              </w:rPr>
              <w:tab/>
            </w:r>
            <w:r>
              <w:rPr>
                <w:noProof/>
                <w:webHidden/>
              </w:rPr>
              <w:fldChar w:fldCharType="begin"/>
            </w:r>
            <w:r>
              <w:rPr>
                <w:noProof/>
                <w:webHidden/>
              </w:rPr>
              <w:instrText xml:space="preserve"> PAGEREF _Toc477873693 \h </w:instrText>
            </w:r>
            <w:r>
              <w:rPr>
                <w:noProof/>
                <w:webHidden/>
              </w:rPr>
            </w:r>
            <w:r>
              <w:rPr>
                <w:noProof/>
                <w:webHidden/>
              </w:rPr>
              <w:fldChar w:fldCharType="separate"/>
            </w:r>
            <w:r w:rsidR="00B56759">
              <w:rPr>
                <w:noProof/>
                <w:webHidden/>
              </w:rPr>
              <w:t>2</w:t>
            </w:r>
            <w:r>
              <w:rPr>
                <w:noProof/>
                <w:webHidden/>
              </w:rPr>
              <w:fldChar w:fldCharType="end"/>
            </w:r>
          </w:hyperlink>
        </w:p>
        <w:p w14:paraId="4FEED6FE" w14:textId="77777777" w:rsidR="00E16604" w:rsidRDefault="00E16604" w:rsidP="00E16604">
          <w:pPr>
            <w:pStyle w:val="TOC2"/>
            <w:tabs>
              <w:tab w:val="right" w:leader="dot" w:pos="9062"/>
            </w:tabs>
            <w:rPr>
              <w:rFonts w:asciiTheme="minorHAnsi" w:hAnsiTheme="minorHAnsi"/>
              <w:noProof/>
              <w:sz w:val="22"/>
            </w:rPr>
          </w:pPr>
          <w:hyperlink w:anchor="_Toc477873694" w:history="1">
            <w:r w:rsidRPr="006801DC">
              <w:rPr>
                <w:rStyle w:val="Hyperlink"/>
                <w:noProof/>
              </w:rPr>
              <w:t>Projekti koji nemaju relevantan utjecaj na informacijski sustav</w:t>
            </w:r>
            <w:r>
              <w:rPr>
                <w:noProof/>
                <w:webHidden/>
              </w:rPr>
              <w:tab/>
            </w:r>
            <w:r>
              <w:rPr>
                <w:noProof/>
                <w:webHidden/>
              </w:rPr>
              <w:fldChar w:fldCharType="begin"/>
            </w:r>
            <w:r>
              <w:rPr>
                <w:noProof/>
                <w:webHidden/>
              </w:rPr>
              <w:instrText xml:space="preserve"> PAGEREF _Toc477873694 \h </w:instrText>
            </w:r>
            <w:r>
              <w:rPr>
                <w:noProof/>
                <w:webHidden/>
              </w:rPr>
            </w:r>
            <w:r>
              <w:rPr>
                <w:noProof/>
                <w:webHidden/>
              </w:rPr>
              <w:fldChar w:fldCharType="separate"/>
            </w:r>
            <w:r w:rsidR="00B56759">
              <w:rPr>
                <w:noProof/>
                <w:webHidden/>
              </w:rPr>
              <w:t>2</w:t>
            </w:r>
            <w:r>
              <w:rPr>
                <w:noProof/>
                <w:webHidden/>
              </w:rPr>
              <w:fldChar w:fldCharType="end"/>
            </w:r>
          </w:hyperlink>
        </w:p>
        <w:p w14:paraId="18BAA5B8"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5" w:history="1">
            <w:r w:rsidRPr="006801DC">
              <w:rPr>
                <w:rStyle w:val="Hyperlink"/>
              </w:rPr>
              <w:t>VII</w:t>
            </w:r>
            <w:r>
              <w:rPr>
                <w:rFonts w:asciiTheme="minorHAnsi" w:hAnsiTheme="minorHAnsi"/>
                <w:b w:val="0"/>
                <w:smallCaps w:val="0"/>
                <w:color w:val="auto"/>
                <w:sz w:val="22"/>
              </w:rPr>
              <w:tab/>
            </w:r>
            <w:r w:rsidRPr="006801DC">
              <w:rPr>
                <w:rStyle w:val="Hyperlink"/>
              </w:rPr>
              <w:t>Prijelazne i završne odredbe</w:t>
            </w:r>
            <w:r>
              <w:rPr>
                <w:webHidden/>
              </w:rPr>
              <w:tab/>
            </w:r>
            <w:r>
              <w:rPr>
                <w:webHidden/>
              </w:rPr>
              <w:fldChar w:fldCharType="begin"/>
            </w:r>
            <w:r>
              <w:rPr>
                <w:webHidden/>
              </w:rPr>
              <w:instrText xml:space="preserve"> PAGEREF _Toc477873695 \h </w:instrText>
            </w:r>
            <w:r>
              <w:rPr>
                <w:webHidden/>
              </w:rPr>
            </w:r>
            <w:r>
              <w:rPr>
                <w:webHidden/>
              </w:rPr>
              <w:fldChar w:fldCharType="separate"/>
            </w:r>
            <w:r w:rsidR="00B56759">
              <w:rPr>
                <w:webHidden/>
              </w:rPr>
              <w:t>2</w:t>
            </w:r>
            <w:r>
              <w:rPr>
                <w:webHidden/>
              </w:rPr>
              <w:fldChar w:fldCharType="end"/>
            </w:r>
          </w:hyperlink>
        </w:p>
        <w:p w14:paraId="4B743658" w14:textId="77777777" w:rsidR="00B2116B" w:rsidRDefault="002F6630" w:rsidP="005449E6">
          <w:pPr>
            <w:pStyle w:val="TOC1"/>
            <w:pBdr>
              <w:bottom w:val="none" w:sz="0" w:space="0" w:color="auto"/>
            </w:pBdr>
            <w:jc w:val="both"/>
            <w:rPr>
              <w:bCs/>
            </w:rPr>
          </w:pPr>
          <w:r>
            <w:fldChar w:fldCharType="end"/>
          </w:r>
        </w:p>
      </w:sdtContent>
    </w:sdt>
    <w:p w14:paraId="56961DA0" w14:textId="77777777" w:rsidR="006C69A6" w:rsidRDefault="006C69A6" w:rsidP="00576884"/>
    <w:p w14:paraId="629D10B8" w14:textId="77777777" w:rsidR="006C69A6" w:rsidRDefault="006C69A6" w:rsidP="00576884"/>
    <w:p w14:paraId="4BC06E95" w14:textId="77777777" w:rsidR="006C69A6" w:rsidRDefault="006C69A6" w:rsidP="00576884"/>
    <w:p w14:paraId="4BC0209A" w14:textId="77777777" w:rsidR="006C69A6" w:rsidRDefault="006C69A6" w:rsidP="00576884"/>
    <w:p w14:paraId="4455B824" w14:textId="305F1BF4" w:rsidR="002A1A91" w:rsidRDefault="002A1A91" w:rsidP="00576884">
      <w:pPr>
        <w:rPr>
          <w:rFonts w:eastAsiaTheme="majorEastAsia" w:cstheme="majorBidi"/>
          <w:color w:val="2F5496" w:themeColor="accent1" w:themeShade="BF"/>
          <w:sz w:val="40"/>
          <w:szCs w:val="32"/>
        </w:rPr>
      </w:pPr>
      <w:r>
        <w:br w:type="page"/>
      </w:r>
    </w:p>
    <w:p w14:paraId="278625AE" w14:textId="77777777" w:rsidR="00BC1D0E" w:rsidRPr="00197566" w:rsidRDefault="00BC1D0E" w:rsidP="00E16604">
      <w:pPr>
        <w:pStyle w:val="Heading1"/>
        <w:numPr>
          <w:ilvl w:val="0"/>
          <w:numId w:val="5"/>
        </w:numPr>
      </w:pPr>
      <w:bookmarkStart w:id="0" w:name="_Toc94056155"/>
      <w:bookmarkStart w:id="1" w:name="_Toc259006265"/>
      <w:bookmarkStart w:id="2" w:name="_Toc441658272"/>
      <w:bookmarkStart w:id="3" w:name="_Toc477873677"/>
      <w:bookmarkStart w:id="4" w:name="_Toc216341413"/>
      <w:bookmarkStart w:id="5" w:name="_Toc223423978"/>
      <w:r w:rsidRPr="00197566">
        <w:lastRenderedPageBreak/>
        <w:t>Namjena</w:t>
      </w:r>
      <w:bookmarkEnd w:id="0"/>
      <w:bookmarkEnd w:id="1"/>
      <w:bookmarkEnd w:id="2"/>
      <w:bookmarkEnd w:id="3"/>
    </w:p>
    <w:bookmarkEnd w:id="4"/>
    <w:bookmarkEnd w:id="5"/>
    <w:p w14:paraId="60604D90" w14:textId="1DE25DD8" w:rsidR="00BC1D0E" w:rsidRDefault="00BC1D0E" w:rsidP="00BC1D0E">
      <w:r w:rsidRPr="00A9775E">
        <w:t xml:space="preserve">Ovaj dokument definira </w:t>
      </w:r>
      <w:r>
        <w:t>metodologiju</w:t>
      </w:r>
      <w:r w:rsidRPr="00A9775E">
        <w:t xml:space="preserve"> </w:t>
      </w:r>
      <w:r>
        <w:t xml:space="preserve">upravljanja rizicima u </w:t>
      </w:r>
      <w:r w:rsidR="006A2177">
        <w:t xml:space="preserve">cjelokupnom sustavu upravljanja </w:t>
      </w:r>
      <w:r>
        <w:t>informacijsk</w:t>
      </w:r>
      <w:r w:rsidR="006A2177">
        <w:t>om sigurnošću</w:t>
      </w:r>
      <w:r>
        <w:t xml:space="preserve"> </w:t>
      </w:r>
      <w:r w:rsidR="008928CD">
        <w:t>(u daljnjem tekstu: IS</w:t>
      </w:r>
      <w:r w:rsidR="006A2177">
        <w:t>MS</w:t>
      </w:r>
      <w:r w:rsidR="008928CD">
        <w:t>)</w:t>
      </w:r>
      <w:r w:rsidR="006C69A6">
        <w:t xml:space="preserve"> </w:t>
      </w:r>
      <w:r w:rsidR="008928CD">
        <w:t>Društv</w:t>
      </w:r>
      <w:r w:rsidR="00747CA9">
        <w:t>a.</w:t>
      </w:r>
    </w:p>
    <w:p w14:paraId="698C86D8" w14:textId="77777777" w:rsidR="00BC1D0E" w:rsidRPr="00197566" w:rsidRDefault="00BC1D0E" w:rsidP="00E16604">
      <w:pPr>
        <w:pStyle w:val="Heading1"/>
        <w:numPr>
          <w:ilvl w:val="0"/>
          <w:numId w:val="5"/>
        </w:numPr>
      </w:pPr>
      <w:bookmarkStart w:id="6" w:name="_Toc258508780"/>
      <w:bookmarkStart w:id="7" w:name="_Toc441658273"/>
      <w:bookmarkStart w:id="8" w:name="_Toc477873678"/>
      <w:r w:rsidRPr="00197566">
        <w:t>Doseg</w:t>
      </w:r>
      <w:bookmarkEnd w:id="6"/>
      <w:bookmarkEnd w:id="7"/>
      <w:bookmarkEnd w:id="8"/>
    </w:p>
    <w:p w14:paraId="4F1DFE22" w14:textId="278AD8C6" w:rsidR="00BC1D0E" w:rsidRDefault="00BC1D0E" w:rsidP="00BC1D0E">
      <w:r w:rsidRPr="00A9775E">
        <w:t xml:space="preserve">Procjena rizika </w:t>
      </w:r>
      <w:r>
        <w:t>IS</w:t>
      </w:r>
      <w:r w:rsidR="006A2177">
        <w:t>MS</w:t>
      </w:r>
      <w:r>
        <w:t xml:space="preserve"> </w:t>
      </w:r>
      <w:r w:rsidRPr="00A9775E">
        <w:t xml:space="preserve">provodi se za svu informacijsku imovinu (i svu imovinu koja je uključena u proces obrade informacija) </w:t>
      </w:r>
      <w:r w:rsidR="00B3065F">
        <w:t>Društva</w:t>
      </w:r>
      <w:r>
        <w:t>.</w:t>
      </w:r>
    </w:p>
    <w:p w14:paraId="4CAB4D3F" w14:textId="77777777" w:rsidR="00BC1D0E" w:rsidRDefault="00BC1D0E" w:rsidP="00E16604">
      <w:pPr>
        <w:pStyle w:val="Heading1"/>
        <w:numPr>
          <w:ilvl w:val="0"/>
          <w:numId w:val="5"/>
        </w:numPr>
      </w:pPr>
      <w:bookmarkStart w:id="9" w:name="_Toc441658275"/>
      <w:bookmarkStart w:id="10" w:name="_Ref258507739"/>
      <w:bookmarkStart w:id="11" w:name="_Toc258508783"/>
      <w:bookmarkStart w:id="12" w:name="_Toc441658276"/>
      <w:bookmarkStart w:id="13" w:name="_Toc477873679"/>
      <w:bookmarkEnd w:id="9"/>
      <w:r w:rsidRPr="00E87EA6">
        <w:t>Odgovornosti</w:t>
      </w:r>
      <w:r>
        <w:t xml:space="preserve"> za provedbu</w:t>
      </w:r>
      <w:bookmarkEnd w:id="10"/>
      <w:bookmarkEnd w:id="11"/>
      <w:bookmarkEnd w:id="12"/>
      <w:bookmarkEnd w:id="13"/>
    </w:p>
    <w:p w14:paraId="62BF3D21" w14:textId="22762907" w:rsidR="00BC1D0E" w:rsidRDefault="00BC1D0E" w:rsidP="00BC1D0E">
      <w:r>
        <w:t xml:space="preserve">Odgovornosti za provedbu definirane su u dokumentu </w:t>
      </w:r>
      <w:r w:rsidRPr="007B09BA">
        <w:rPr>
          <w:b/>
        </w:rPr>
        <w:t xml:space="preserve">Pravilnik o upravljanju rizicima u informacijskom sustavu </w:t>
      </w:r>
      <w:r w:rsidR="00B3065F">
        <w:rPr>
          <w:b/>
        </w:rPr>
        <w:t>Društva</w:t>
      </w:r>
      <w:r>
        <w:t>.</w:t>
      </w:r>
    </w:p>
    <w:p w14:paraId="5D99139F" w14:textId="77777777" w:rsidR="00BC1D0E" w:rsidRPr="00584B10" w:rsidRDefault="00BC1D0E" w:rsidP="00E16604">
      <w:pPr>
        <w:pStyle w:val="Heading1"/>
        <w:numPr>
          <w:ilvl w:val="0"/>
          <w:numId w:val="5"/>
        </w:numPr>
      </w:pPr>
      <w:bookmarkStart w:id="14" w:name="_Toc432665361"/>
      <w:bookmarkStart w:id="15" w:name="_Toc441658277"/>
      <w:bookmarkStart w:id="16" w:name="_Toc477873680"/>
      <w:bookmarkStart w:id="17" w:name="_Toc258508784"/>
      <w:r w:rsidRPr="00194FC8">
        <w:t>Postupak</w:t>
      </w:r>
      <w:r>
        <w:t xml:space="preserve"> upravljanja rizicima informacijske sigurnosti</w:t>
      </w:r>
      <w:bookmarkEnd w:id="14"/>
      <w:bookmarkEnd w:id="15"/>
      <w:bookmarkEnd w:id="16"/>
    </w:p>
    <w:p w14:paraId="5492A589" w14:textId="79ABFBBA" w:rsidR="00BC1D0E" w:rsidRPr="00A9775E" w:rsidRDefault="00BC1D0E" w:rsidP="00BC1D0E">
      <w:bookmarkStart w:id="18" w:name="_Toc441658278"/>
      <w:bookmarkStart w:id="19" w:name="_Toc441658279"/>
      <w:bookmarkEnd w:id="17"/>
      <w:bookmarkEnd w:id="18"/>
      <w:bookmarkEnd w:id="19"/>
      <w:r w:rsidRPr="00A9775E">
        <w:t xml:space="preserve">Procjena rizika </w:t>
      </w:r>
      <w:r>
        <w:t>IS</w:t>
      </w:r>
      <w:r w:rsidR="006A2177">
        <w:t>MS</w:t>
      </w:r>
      <w:r>
        <w:t xml:space="preserve"> </w:t>
      </w:r>
      <w:r w:rsidRPr="00A9775E">
        <w:t xml:space="preserve">je temeljit i sveobuhvatan proces koji se sastoji od analize rizika tj. identifikacije prijetnji i ranjivosti te određivanja njihovog utjecaja i vjerojatnosti ostvarivanja te vrednovanja rizika tj. pridjeljivanja ocjene prepoznatom riziku u skladu sa unaprijed određenim kriterijem u svrhu određivanja njegove ozbiljnosti. </w:t>
      </w:r>
    </w:p>
    <w:p w14:paraId="18E54C64" w14:textId="77777777" w:rsidR="00BC1D0E" w:rsidRPr="00A9775E" w:rsidRDefault="00BC1D0E" w:rsidP="00BC1D0E">
      <w:r w:rsidRPr="00A9775E">
        <w:t xml:space="preserve">Korištena metodologija procjene rizika spada u kategoriju </w:t>
      </w:r>
      <w:r w:rsidRPr="00A9775E">
        <w:rPr>
          <w:b/>
        </w:rPr>
        <w:t>kvalitativnih metoda</w:t>
      </w:r>
      <w:r w:rsidRPr="00A9775E">
        <w:t xml:space="preserve"> čije karakteristike su lakša primjenjivost i provedivost na sve vrste informacijske imovine, a rizici se izražavaju simboličkim vrijednostima.</w:t>
      </w:r>
    </w:p>
    <w:p w14:paraId="2FB06714" w14:textId="2BE7C14A" w:rsidR="00BC1D0E" w:rsidRDefault="00BC1D0E" w:rsidP="00BC1D0E">
      <w:r w:rsidRPr="00A9775E">
        <w:t xml:space="preserve">Postupak procjene rizika provodi se periodički, </w:t>
      </w:r>
      <w:r w:rsidRPr="00A9775E">
        <w:rPr>
          <w:b/>
        </w:rPr>
        <w:t>jednom godišnje ili prilikom većih promjena u informacijskom sustavu</w:t>
      </w:r>
      <w:r w:rsidRPr="00A9775E">
        <w:t xml:space="preserve">, a u procjeni obavezno sudjeluju </w:t>
      </w:r>
      <w:r w:rsidR="006A2177">
        <w:t>Voditelj sigurnosti informacijskog sustava</w:t>
      </w:r>
      <w:r>
        <w:t xml:space="preserve"> i r</w:t>
      </w:r>
      <w:r w:rsidRPr="007B09BA">
        <w:t>ukovoditelji organizacijskih cjelina</w:t>
      </w:r>
      <w:r>
        <w:t xml:space="preserve"> koji su vlasnici informacijske imovine ili poslovnog procesa koji se procjenjuje.</w:t>
      </w:r>
    </w:p>
    <w:p w14:paraId="1D6F4070" w14:textId="77777777" w:rsidR="00BC1D0E" w:rsidRPr="00A9775E" w:rsidRDefault="00BC1D0E" w:rsidP="00BC1D0E">
      <w:r w:rsidRPr="00E17CE8">
        <w:rPr>
          <w:b/>
        </w:rPr>
        <w:t>Napomena</w:t>
      </w:r>
      <w:r w:rsidRPr="00A9775E">
        <w:t>: Ukoliko vlasnik informacijske imovine odnosno procesa nije u mogućnosti sudjelovati u procjeni rizika, dužan je imenovati osobu odgovornu za postupak procjene rizika.</w:t>
      </w:r>
    </w:p>
    <w:p w14:paraId="5007B7D1" w14:textId="77777777" w:rsidR="00BC1D0E" w:rsidRPr="00E17CE8" w:rsidRDefault="00BC1D0E" w:rsidP="00BC1D0E">
      <w:r w:rsidRPr="00E17CE8">
        <w:t>Postupak procjene rizika podijeljen je na slijedeće faze i aktivnosti:</w:t>
      </w:r>
    </w:p>
    <w:p w14:paraId="5323B06E" w14:textId="77777777" w:rsidR="00BC1D0E" w:rsidRPr="00BC1D0E" w:rsidRDefault="00BC1D0E" w:rsidP="00E16604">
      <w:pPr>
        <w:pStyle w:val="ListParagraph"/>
        <w:numPr>
          <w:ilvl w:val="0"/>
          <w:numId w:val="6"/>
        </w:numPr>
        <w:tabs>
          <w:tab w:val="left" w:pos="142"/>
        </w:tabs>
      </w:pPr>
      <w:r w:rsidRPr="00BC1D0E">
        <w:t>Identifikacija i vrednovanje informacijske imovine</w:t>
      </w:r>
    </w:p>
    <w:p w14:paraId="1B344E32" w14:textId="77777777" w:rsidR="00BC1D0E" w:rsidRPr="00BC1D0E" w:rsidRDefault="00BC1D0E" w:rsidP="00E16604">
      <w:pPr>
        <w:pStyle w:val="ListParagraph"/>
        <w:numPr>
          <w:ilvl w:val="1"/>
          <w:numId w:val="6"/>
        </w:numPr>
        <w:tabs>
          <w:tab w:val="left" w:pos="142"/>
        </w:tabs>
      </w:pPr>
      <w:r w:rsidRPr="00BC1D0E">
        <w:t>Snimka i popisivanje informacijske imovine</w:t>
      </w:r>
    </w:p>
    <w:p w14:paraId="40A88CA9" w14:textId="77777777" w:rsidR="00BC1D0E" w:rsidRPr="00BC1D0E" w:rsidRDefault="00BC1D0E" w:rsidP="00E16604">
      <w:pPr>
        <w:pStyle w:val="ListParagraph"/>
        <w:numPr>
          <w:ilvl w:val="1"/>
          <w:numId w:val="6"/>
        </w:numPr>
        <w:tabs>
          <w:tab w:val="left" w:pos="142"/>
        </w:tabs>
      </w:pPr>
      <w:r w:rsidRPr="00BC1D0E">
        <w:t>Vrednovanje informacijske imovine</w:t>
      </w:r>
    </w:p>
    <w:p w14:paraId="1D290796" w14:textId="77777777" w:rsidR="00BC1D0E" w:rsidRPr="00BC1D0E" w:rsidRDefault="00BC1D0E" w:rsidP="00E16604">
      <w:pPr>
        <w:pStyle w:val="ListParagraph"/>
        <w:numPr>
          <w:ilvl w:val="1"/>
          <w:numId w:val="6"/>
        </w:numPr>
        <w:tabs>
          <w:tab w:val="left" w:pos="142"/>
        </w:tabs>
      </w:pPr>
      <w:r w:rsidRPr="00BC1D0E">
        <w:t>Određivanje obilježja informacijske imovine</w:t>
      </w:r>
    </w:p>
    <w:p w14:paraId="4A14D750" w14:textId="77777777" w:rsidR="00BC1D0E" w:rsidRPr="00BC1D0E" w:rsidRDefault="00BC1D0E" w:rsidP="00E16604">
      <w:pPr>
        <w:pStyle w:val="ListParagraph"/>
        <w:numPr>
          <w:ilvl w:val="1"/>
          <w:numId w:val="6"/>
        </w:numPr>
        <w:tabs>
          <w:tab w:val="left" w:pos="142"/>
        </w:tabs>
      </w:pPr>
      <w:r w:rsidRPr="00BC1D0E">
        <w:t>Filtriranje informacijske imovine</w:t>
      </w:r>
    </w:p>
    <w:p w14:paraId="1C94FF64" w14:textId="77777777" w:rsidR="00BC1D0E" w:rsidRPr="00BC1D0E" w:rsidRDefault="00BC1D0E" w:rsidP="00E16604">
      <w:pPr>
        <w:pStyle w:val="ListParagraph"/>
        <w:numPr>
          <w:ilvl w:val="0"/>
          <w:numId w:val="6"/>
        </w:numPr>
        <w:tabs>
          <w:tab w:val="left" w:pos="142"/>
        </w:tabs>
      </w:pPr>
      <w:r w:rsidRPr="00BC1D0E">
        <w:t>Procjena rizika</w:t>
      </w:r>
    </w:p>
    <w:p w14:paraId="1B166550" w14:textId="77777777" w:rsidR="00BC1D0E" w:rsidRPr="00BC1D0E" w:rsidRDefault="00BC1D0E" w:rsidP="00E16604">
      <w:pPr>
        <w:pStyle w:val="ListParagraph"/>
        <w:numPr>
          <w:ilvl w:val="1"/>
          <w:numId w:val="6"/>
        </w:numPr>
        <w:tabs>
          <w:tab w:val="left" w:pos="142"/>
        </w:tabs>
      </w:pPr>
      <w:r w:rsidRPr="00BC1D0E">
        <w:t>Identifikacija primjenjivih prijetnji i ranjivosti i priprema kataloga rizika</w:t>
      </w:r>
    </w:p>
    <w:p w14:paraId="45397A90" w14:textId="77777777" w:rsidR="00BC1D0E" w:rsidRPr="00BC1D0E" w:rsidRDefault="00BC1D0E" w:rsidP="00E16604">
      <w:pPr>
        <w:pStyle w:val="ListParagraph"/>
        <w:numPr>
          <w:ilvl w:val="1"/>
          <w:numId w:val="6"/>
        </w:numPr>
        <w:tabs>
          <w:tab w:val="left" w:pos="142"/>
        </w:tabs>
      </w:pPr>
      <w:r w:rsidRPr="00BC1D0E">
        <w:t>Vrednovanje i izračun rizika</w:t>
      </w:r>
    </w:p>
    <w:p w14:paraId="491FD19C" w14:textId="77777777" w:rsidR="00BC1D0E" w:rsidRPr="00BC1D0E" w:rsidRDefault="00BC1D0E" w:rsidP="00E16604">
      <w:pPr>
        <w:pStyle w:val="ListParagraph"/>
        <w:numPr>
          <w:ilvl w:val="0"/>
          <w:numId w:val="6"/>
        </w:numPr>
        <w:tabs>
          <w:tab w:val="left" w:pos="142"/>
        </w:tabs>
      </w:pPr>
      <w:r w:rsidRPr="00BC1D0E">
        <w:t>Obrada rizika</w:t>
      </w:r>
    </w:p>
    <w:p w14:paraId="64B92BB4" w14:textId="77777777" w:rsidR="00BC1D0E" w:rsidRPr="00BC1D0E" w:rsidRDefault="00BC1D0E" w:rsidP="00E16604">
      <w:pPr>
        <w:pStyle w:val="ListParagraph"/>
        <w:numPr>
          <w:ilvl w:val="1"/>
          <w:numId w:val="6"/>
        </w:numPr>
        <w:tabs>
          <w:tab w:val="left" w:pos="142"/>
        </w:tabs>
      </w:pPr>
      <w:r w:rsidRPr="00BC1D0E">
        <w:t>Odabir opcija za tretiranje rizika</w:t>
      </w:r>
    </w:p>
    <w:p w14:paraId="2ECE9705" w14:textId="77777777" w:rsidR="00BC1D0E" w:rsidRPr="00BC1D0E" w:rsidRDefault="00BC1D0E" w:rsidP="00E16604">
      <w:pPr>
        <w:pStyle w:val="ListParagraph"/>
        <w:numPr>
          <w:ilvl w:val="1"/>
          <w:numId w:val="6"/>
        </w:numPr>
        <w:tabs>
          <w:tab w:val="left" w:pos="142"/>
        </w:tabs>
      </w:pPr>
      <w:r w:rsidRPr="00BC1D0E">
        <w:t>Izrada plana obrade rizika</w:t>
      </w:r>
    </w:p>
    <w:p w14:paraId="4684739B" w14:textId="77777777" w:rsidR="00BC1D0E" w:rsidRDefault="00BC1D0E" w:rsidP="00BC1D0E">
      <w:pPr>
        <w:pStyle w:val="Heading2"/>
        <w:numPr>
          <w:ilvl w:val="0"/>
          <w:numId w:val="0"/>
        </w:numPr>
        <w:ind w:left="576" w:hanging="576"/>
      </w:pPr>
      <w:bookmarkStart w:id="20" w:name="_Toc441658282"/>
      <w:bookmarkStart w:id="21" w:name="_Toc258508786"/>
      <w:bookmarkStart w:id="22" w:name="_Toc441658283"/>
      <w:bookmarkStart w:id="23" w:name="_Toc477873681"/>
      <w:bookmarkEnd w:id="20"/>
      <w:r w:rsidRPr="00197566">
        <w:lastRenderedPageBreak/>
        <w:t>Identifikacija</w:t>
      </w:r>
      <w:r>
        <w:t xml:space="preserve"> i </w:t>
      </w:r>
      <w:r w:rsidRPr="008E3147">
        <w:t>vrednovanje</w:t>
      </w:r>
      <w:r>
        <w:t xml:space="preserve"> informacijske imovine</w:t>
      </w:r>
      <w:bookmarkStart w:id="24" w:name="_Toc441658284"/>
      <w:bookmarkEnd w:id="21"/>
      <w:bookmarkEnd w:id="22"/>
      <w:bookmarkEnd w:id="23"/>
      <w:bookmarkEnd w:id="24"/>
    </w:p>
    <w:p w14:paraId="47726250" w14:textId="16C8754D" w:rsidR="00BC1D0E" w:rsidRPr="00A9775E" w:rsidRDefault="00BC1D0E" w:rsidP="00B9205F">
      <w:r w:rsidRPr="00A9775E">
        <w:t>Cilj faze identifikacije i vrednovanja informacijske imovine je prepoznati, evidentirati i vrednovati svu informacijsku imovinu potrebnu za normalni rad procesa.</w:t>
      </w:r>
      <w:r w:rsidR="00B9205F">
        <w:t xml:space="preserve"> </w:t>
      </w:r>
      <w:r w:rsidRPr="00A9775E">
        <w:t xml:space="preserve">Provodi se kroz niz strukturiranih intervjua ili radionica s nadležnim osobama koji mogu dati informacije o korištenim resursima i njihovom značaju. </w:t>
      </w:r>
    </w:p>
    <w:p w14:paraId="0A32600C" w14:textId="77777777" w:rsidR="00BC1D0E" w:rsidRPr="00A9775E" w:rsidRDefault="00BC1D0E" w:rsidP="00BC1D0E">
      <w:r w:rsidRPr="00A9775E">
        <w:t>U svrhu dobivanja cjelovite slike, informacije je potrebno prikupiti od strane predstavnika poslovanja koji mogu pridijeliti značaj informacijama korištenim u poslovnim procesima te od tehnički odgovornih osoba za IT servise koji vrlo često imaju ulogu skrbnika kritičnih poslovnih servisa i informacijske imovine.</w:t>
      </w:r>
    </w:p>
    <w:p w14:paraId="499B5CB0" w14:textId="77777777" w:rsidR="00BC1D0E" w:rsidRDefault="00BC1D0E" w:rsidP="00BC1D0E">
      <w:pPr>
        <w:pStyle w:val="Heading2"/>
        <w:numPr>
          <w:ilvl w:val="0"/>
          <w:numId w:val="0"/>
        </w:numPr>
        <w:ind w:left="576" w:hanging="576"/>
      </w:pPr>
      <w:bookmarkStart w:id="25" w:name="_Toc258508787"/>
      <w:bookmarkStart w:id="26" w:name="_Toc441658285"/>
      <w:bookmarkStart w:id="27" w:name="_Toc477873682"/>
      <w:r w:rsidRPr="00E17CE8">
        <w:t>Snimka</w:t>
      </w:r>
      <w:r>
        <w:t xml:space="preserve"> i </w:t>
      </w:r>
      <w:r w:rsidRPr="008E3147">
        <w:t>popisivanje</w:t>
      </w:r>
      <w:r>
        <w:t xml:space="preserve"> informacijske imovine</w:t>
      </w:r>
      <w:bookmarkEnd w:id="25"/>
      <w:bookmarkEnd w:id="26"/>
      <w:bookmarkEnd w:id="27"/>
    </w:p>
    <w:p w14:paraId="683FABD8" w14:textId="77777777" w:rsidR="00BC1D0E" w:rsidRPr="00A9775E" w:rsidRDefault="00BC1D0E" w:rsidP="00BC1D0E">
      <w:r w:rsidRPr="00A9775E">
        <w:t>Aktivnost snimke i popisivanja provode članovi tima za procjenu rizika na intervjuima s djelatnicima odgovornim za pojedinu informacijsku imovinu.</w:t>
      </w:r>
      <w:r w:rsidRPr="00A9775E" w:rsidDel="00995209">
        <w:t xml:space="preserve"> </w:t>
      </w:r>
      <w:r w:rsidRPr="00A9775E">
        <w:t>Tijekom intervjua prikupljaju se osnovne informacije o pojedinom procesu odnosno IT servisu putem obrazaca Upitnik analize procesa, Upitnik analize IT servisa što uključuje i prikupljanje podataka o informacijskoj imovini kritičnoj za rad pojedinog procesa odnosno servisa.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397"/>
        <w:gridCol w:w="1134"/>
        <w:gridCol w:w="4536"/>
      </w:tblGrid>
      <w:tr w:rsidR="00BC1D0E" w:rsidRPr="00E17CE8" w14:paraId="35479BCB" w14:textId="77777777" w:rsidTr="00BC1D0E">
        <w:tc>
          <w:tcPr>
            <w:tcW w:w="3397" w:type="dxa"/>
            <w:shd w:val="clear" w:color="auto" w:fill="FFFFFF" w:themeFill="background1"/>
          </w:tcPr>
          <w:p w14:paraId="6DB06A7D" w14:textId="77777777" w:rsidR="00BC1D0E" w:rsidRPr="00BC1D0E" w:rsidRDefault="00BC1D0E" w:rsidP="006D2A8C">
            <w:r w:rsidRPr="00BC1D0E">
              <w:t>Ulazi:</w:t>
            </w:r>
          </w:p>
        </w:tc>
        <w:tc>
          <w:tcPr>
            <w:tcW w:w="1134" w:type="dxa"/>
            <w:shd w:val="clear" w:color="auto" w:fill="FFFFFF" w:themeFill="background1"/>
          </w:tcPr>
          <w:p w14:paraId="23F22244" w14:textId="77777777" w:rsidR="00BC1D0E" w:rsidRPr="00BC1D0E" w:rsidRDefault="00BC1D0E" w:rsidP="006D2A8C"/>
        </w:tc>
        <w:tc>
          <w:tcPr>
            <w:tcW w:w="4536" w:type="dxa"/>
            <w:shd w:val="clear" w:color="auto" w:fill="FFFFFF" w:themeFill="background1"/>
          </w:tcPr>
          <w:p w14:paraId="1B195110" w14:textId="77777777" w:rsidR="00BC1D0E" w:rsidRPr="00BC1D0E" w:rsidRDefault="00BC1D0E" w:rsidP="006D2A8C">
            <w:r w:rsidRPr="00BC1D0E">
              <w:t>Izlazi:</w:t>
            </w:r>
          </w:p>
        </w:tc>
      </w:tr>
      <w:tr w:rsidR="00BC1D0E" w:rsidRPr="00E17CE8" w14:paraId="3F3448F1" w14:textId="77777777" w:rsidTr="00BC1D0E">
        <w:tc>
          <w:tcPr>
            <w:tcW w:w="3397" w:type="dxa"/>
          </w:tcPr>
          <w:p w14:paraId="17309171" w14:textId="77777777" w:rsidR="00BC1D0E" w:rsidRPr="00BC1D0E" w:rsidRDefault="00BC1D0E" w:rsidP="00E16604">
            <w:pPr>
              <w:pStyle w:val="ListParagraph"/>
              <w:numPr>
                <w:ilvl w:val="0"/>
                <w:numId w:val="7"/>
              </w:numPr>
              <w:tabs>
                <w:tab w:val="left" w:pos="142"/>
              </w:tabs>
            </w:pPr>
            <w:r w:rsidRPr="00BC1D0E">
              <w:t>Upitnik analize procesa</w:t>
            </w:r>
          </w:p>
          <w:p w14:paraId="3D485599" w14:textId="77777777" w:rsidR="00BC1D0E" w:rsidRPr="00BC1D0E" w:rsidRDefault="00BC1D0E" w:rsidP="00E16604">
            <w:pPr>
              <w:pStyle w:val="ListParagraph"/>
              <w:numPr>
                <w:ilvl w:val="0"/>
                <w:numId w:val="7"/>
              </w:numPr>
              <w:tabs>
                <w:tab w:val="left" w:pos="142"/>
              </w:tabs>
            </w:pPr>
            <w:r w:rsidRPr="00BC1D0E">
              <w:t>Upitnik analize IT servisa</w:t>
            </w:r>
          </w:p>
        </w:tc>
        <w:tc>
          <w:tcPr>
            <w:tcW w:w="1134" w:type="dxa"/>
          </w:tcPr>
          <w:p w14:paraId="1B08953E" w14:textId="77777777" w:rsidR="00BC1D0E" w:rsidRPr="00BC1D0E" w:rsidRDefault="00BC1D0E" w:rsidP="006D2A8C">
            <w:r w:rsidRPr="00BC1D0E">
              <w:rPr>
                <w:noProof/>
              </w:rPr>
              <mc:AlternateContent>
                <mc:Choice Requires="wps">
                  <w:drawing>
                    <wp:anchor distT="0" distB="0" distL="114300" distR="114300" simplePos="0" relativeHeight="251662336" behindDoc="0" locked="0" layoutInCell="1" allowOverlap="1" wp14:anchorId="56404EB7" wp14:editId="71F72EA3">
                      <wp:simplePos x="0" y="0"/>
                      <wp:positionH relativeFrom="column">
                        <wp:posOffset>-5080</wp:posOffset>
                      </wp:positionH>
                      <wp:positionV relativeFrom="paragraph">
                        <wp:posOffset>28303</wp:posOffset>
                      </wp:positionV>
                      <wp:extent cx="728133" cy="406400"/>
                      <wp:effectExtent l="0" t="12700" r="21590" b="25400"/>
                      <wp:wrapNone/>
                      <wp:docPr id="4" name="Right Arrow 4"/>
                      <wp:cNvGraphicFramePr/>
                      <a:graphic xmlns:a="http://schemas.openxmlformats.org/drawingml/2006/main">
                        <a:graphicData uri="http://schemas.microsoft.com/office/word/2010/wordprocessingShape">
                          <wps:wsp>
                            <wps:cNvSpPr/>
                            <wps:spPr>
                              <a:xfrm>
                                <a:off x="0" y="0"/>
                                <a:ext cx="728133"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9AF4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pt;margin-top:2.25pt;width:57.35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" adj="15572" fillcolor="#0d5435" strokecolor="#1f3763 [1604]" strokeweight="1pt"/>
                  </w:pict>
                </mc:Fallback>
              </mc:AlternateContent>
            </w:r>
          </w:p>
        </w:tc>
        <w:tc>
          <w:tcPr>
            <w:tcW w:w="4536" w:type="dxa"/>
          </w:tcPr>
          <w:p w14:paraId="33522A04" w14:textId="77777777" w:rsidR="00BC1D0E" w:rsidRPr="00BC1D0E" w:rsidRDefault="00BC1D0E" w:rsidP="00E16604">
            <w:pPr>
              <w:pStyle w:val="ListParagraph"/>
              <w:numPr>
                <w:ilvl w:val="0"/>
                <w:numId w:val="8"/>
              </w:numPr>
              <w:tabs>
                <w:tab w:val="left" w:pos="142"/>
              </w:tabs>
            </w:pPr>
            <w:r w:rsidRPr="00BC1D0E">
              <w:t>Katalog procesa</w:t>
            </w:r>
          </w:p>
          <w:p w14:paraId="7222A1A8" w14:textId="77777777" w:rsidR="00BC1D0E" w:rsidRPr="00BC1D0E" w:rsidRDefault="00BC1D0E" w:rsidP="00E16604">
            <w:pPr>
              <w:pStyle w:val="ListParagraph"/>
              <w:numPr>
                <w:ilvl w:val="0"/>
                <w:numId w:val="8"/>
              </w:numPr>
              <w:tabs>
                <w:tab w:val="left" w:pos="142"/>
              </w:tabs>
            </w:pPr>
            <w:r w:rsidRPr="00BC1D0E">
              <w:t>Katalog IT servisa</w:t>
            </w:r>
          </w:p>
          <w:p w14:paraId="70D1E467" w14:textId="2DB6BB2D" w:rsidR="00BC1D0E" w:rsidRPr="00BC1D0E" w:rsidRDefault="00BC1D0E" w:rsidP="00B9205F">
            <w:pPr>
              <w:pStyle w:val="ListParagraph"/>
              <w:numPr>
                <w:ilvl w:val="0"/>
                <w:numId w:val="8"/>
              </w:numPr>
              <w:tabs>
                <w:tab w:val="left" w:pos="142"/>
              </w:tabs>
            </w:pPr>
            <w:r w:rsidRPr="00BC1D0E">
              <w:t>Registar informacijske imovine</w:t>
            </w:r>
          </w:p>
        </w:tc>
      </w:tr>
    </w:tbl>
    <w:p w14:paraId="53DF1367"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28" w:name="_Toc258508788"/>
      <w:bookmarkStart w:id="29" w:name="_Toc441658286"/>
      <w:bookmarkStart w:id="30" w:name="_Toc477873683"/>
      <w:r w:rsidRPr="008E3147">
        <w:t>Vrednovanje</w:t>
      </w:r>
      <w:r>
        <w:t xml:space="preserve"> informacijske imovine</w:t>
      </w:r>
      <w:bookmarkEnd w:id="28"/>
      <w:bookmarkEnd w:id="29"/>
      <w:bookmarkEnd w:id="30"/>
    </w:p>
    <w:p w14:paraId="5DCAD7E2" w14:textId="13B920F5" w:rsidR="00BC1D0E" w:rsidRPr="00A9775E" w:rsidRDefault="00BC1D0E" w:rsidP="00B9205F">
      <w:r w:rsidRPr="00A9775E">
        <w:t>Kako bi se, što je moguće efikasnije, odabrao model zaštite informacijske imovine, nužna je procjena njene vrijednosti u smislu značaja za poslovanje.</w:t>
      </w:r>
      <w:r w:rsidR="00B9205F">
        <w:t xml:space="preserve"> </w:t>
      </w:r>
      <w:r w:rsidRPr="00A9775E">
        <w:t xml:space="preserve">Vrijednost imovine se uglavnom procjenjuje kao potencijalna (financijska, materijalna, reputacijska ili slična) šteta po poslovanje </w:t>
      </w:r>
      <w:r w:rsidR="00B3065F">
        <w:t>Društva</w:t>
      </w:r>
      <w:r w:rsidRPr="00A9775E">
        <w:t xml:space="preserve">, koja nastaje ukoliko dođe do sigurnosnog incidenta koji bi narušio jedan od tri aspekta informacijske sigurnosti (povjerljivost, integritet, raspoloživost), tj. rezultirao razotkrivanjem, neovlaštenom ili slučajnom modifikacijom, uništavanjem ili kvarom informacijske imovine. Pri procjeni šteta uzima se uvijek </w:t>
      </w:r>
      <w:r w:rsidRPr="00A9775E">
        <w:rPr>
          <w:b/>
        </w:rPr>
        <w:t>najgori scenarij</w:t>
      </w:r>
      <w:r w:rsidRPr="00A9775E">
        <w:t xml:space="preserve"> (eng. worst-case).</w:t>
      </w:r>
    </w:p>
    <w:p w14:paraId="49C8D81C" w14:textId="77777777" w:rsidR="00BC1D0E" w:rsidRPr="00A9775E" w:rsidRDefault="00BC1D0E" w:rsidP="00BC1D0E">
      <w:r w:rsidRPr="00A9775E">
        <w:rPr>
          <w:b/>
        </w:rPr>
        <w:t>Napomena:</w:t>
      </w:r>
      <w:r w:rsidRPr="00A9775E">
        <w:t xml:space="preserve"> Vrijednost imovine procjenjuje se zasebno za svaki od aspekata informacijske sigurnosti (povjerljivost, integritet i raspoloživost).</w:t>
      </w:r>
    </w:p>
    <w:p w14:paraId="3917904D" w14:textId="77777777" w:rsidR="00BC1D0E" w:rsidRPr="00A9775E" w:rsidRDefault="00BC1D0E" w:rsidP="00BC1D0E">
      <w:r w:rsidRPr="00A9775E">
        <w:t>Povjerljivost, integritet i raspoloživost imovine definiraju se na slijedeći način:</w:t>
      </w:r>
    </w:p>
    <w:p w14:paraId="5807A38D" w14:textId="77777777" w:rsidR="00BC1D0E" w:rsidRPr="00A9775E" w:rsidRDefault="00BC1D0E" w:rsidP="00BC1D0E">
      <w:pPr>
        <w:rPr>
          <w:b/>
        </w:rPr>
      </w:pPr>
      <w:r w:rsidRPr="00A9775E">
        <w:rPr>
          <w:b/>
        </w:rPr>
        <w:t xml:space="preserve">Povjerljivost </w:t>
      </w:r>
      <w:r w:rsidRPr="00A9775E">
        <w:t>- podrazumijeva zaštitu od neovlaštenog pristupa informacijama, u bilo kojem obliku, bilo da su pohranjene, u obradi ili transportu. Neovlaštene su sve one osobe (ili organizacije) koje nemaju izravnu dozvolu pristupa od strane vlasnika informacije (tj. imovine). U slučaju opreme za procesiranje informacija (računala i slično), stupanj povjerljivosti identičan je stupnju povjerljivosti informacije koja se procesira.</w:t>
      </w:r>
    </w:p>
    <w:p w14:paraId="381A404D" w14:textId="77777777" w:rsidR="00BC1D0E" w:rsidRPr="00A9775E" w:rsidRDefault="00BC1D0E" w:rsidP="00BC1D0E">
      <w:pPr>
        <w:rPr>
          <w:b/>
        </w:rPr>
      </w:pPr>
      <w:r w:rsidRPr="00A9775E">
        <w:rPr>
          <w:b/>
        </w:rPr>
        <w:t xml:space="preserve">Integritet </w:t>
      </w:r>
      <w:r w:rsidRPr="00A9775E">
        <w:t>- predstavlja očuvanje točnosti i cjelovitosti informacije tijekom skladištenja i transporta, njeno ispravno procesiranje i zaštitu od neovlaštene modifikacije. Pod integritetom računalnih mreža i sustava (kao i telefonske mreže) razmatra se, osim ispravnog prijenosa podataka, i autentičnost izvora ili odredišta.</w:t>
      </w:r>
    </w:p>
    <w:p w14:paraId="622188E9" w14:textId="77777777" w:rsidR="00BC1D0E" w:rsidRPr="00A9775E" w:rsidRDefault="00BC1D0E" w:rsidP="00BC1D0E">
      <w:r w:rsidRPr="00A9775E">
        <w:rPr>
          <w:b/>
        </w:rPr>
        <w:t xml:space="preserve">Raspoloživost </w:t>
      </w:r>
      <w:r w:rsidRPr="00A9775E">
        <w:t>- definira potrebu za dostupnošću informacija ovlaštenim osobama, s obzirom na vrijeme i mjesto dostupnosti, tj. u kojem vremenskom periodu i na kojim lokacijama imovina mora biti dostupna.</w:t>
      </w:r>
    </w:p>
    <w:p w14:paraId="5BA03C70" w14:textId="7E61E6C4" w:rsidR="00BC1D0E" w:rsidRPr="0035543F" w:rsidRDefault="00BC1D0E" w:rsidP="00B9205F">
      <w:r w:rsidRPr="00A9775E">
        <w:lastRenderedPageBreak/>
        <w:t xml:space="preserve">Kod procjene vrijednosti imovine osim financijskih faktora, koji su u većini slučajeva presudni, u obzir je poželjno uzeti i utjecaj gubitka dostupnosti, razotkrivanja ili narušavanja integriteta imovine na ugled </w:t>
      </w:r>
      <w:r w:rsidR="00B3065F">
        <w:t>Društva</w:t>
      </w:r>
      <w:r w:rsidRPr="00A9775E">
        <w:t xml:space="preserve">, na narušavanje privatnosti zaposlenika ili kupaca, kao i na kršenje pravnih i regulatornih obveza na koje se </w:t>
      </w:r>
      <w:r w:rsidR="008928CD">
        <w:t xml:space="preserve">Društvo </w:t>
      </w:r>
      <w:r w:rsidRPr="00A9775E">
        <w:t>obavezal</w:t>
      </w:r>
      <w:r w:rsidR="008928CD">
        <w:t>o</w:t>
      </w:r>
      <w:r w:rsidRPr="00A9775E">
        <w:t xml:space="preserve">. Navedena problematika često se zanemaruje, a dugoročno može rezultirati ozbiljnim problemima u poslovanju </w:t>
      </w:r>
      <w:r w:rsidR="00B3065F">
        <w:t>Društva</w:t>
      </w:r>
      <w:r w:rsidRPr="00A9775E">
        <w:t>.</w:t>
      </w:r>
      <w:r w:rsidR="00B9205F">
        <w:t xml:space="preserve"> </w:t>
      </w:r>
      <w:r>
        <w:t xml:space="preserve">Tablica 1 </w:t>
      </w:r>
      <w:r w:rsidRPr="0035543F">
        <w:t>definira razine vrijednosti imovine s obzirom na sva tri aspekta informacije sigurnosti.</w:t>
      </w:r>
    </w:p>
    <w:p w14:paraId="2D3B75DF" w14:textId="77777777" w:rsidR="00BC1D0E" w:rsidRDefault="00BC1D0E" w:rsidP="00BC1D0E">
      <w:bookmarkStart w:id="31" w:name="_Ref242157687"/>
      <w:bookmarkStart w:id="32" w:name="_Ref242157682"/>
      <w:r w:rsidRPr="0035543F">
        <w:t>Aktivnost vrednovanja se provodi u suradnji sa predstavnicima poslovanja odnosno vlasnicima imovine koji mogu objasniti ograničenja u korištenju pojedinih informacija, njihovu važnost za poslovni proces, vrijeme čuvanja, te percipiranim rizicima. Na temelju poslovnih parametara definiranih obrascima potrebno je odrediti sigurnosne zahtjeve na povjerljivost, cjelovitost i raspoloživost tj. vrijednost informacijske imovine.</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3D444E13" w14:textId="77777777" w:rsidTr="00BC1D0E">
        <w:tc>
          <w:tcPr>
            <w:tcW w:w="3114" w:type="dxa"/>
            <w:shd w:val="clear" w:color="auto" w:fill="FFFFFF" w:themeFill="background1"/>
          </w:tcPr>
          <w:p w14:paraId="5D25B60A" w14:textId="77777777" w:rsidR="00BC1D0E" w:rsidRPr="00BC1D0E" w:rsidRDefault="00BC1D0E" w:rsidP="006D2A8C">
            <w:r w:rsidRPr="00BC1D0E">
              <w:t>Ulazi:</w:t>
            </w:r>
          </w:p>
        </w:tc>
        <w:tc>
          <w:tcPr>
            <w:tcW w:w="1276" w:type="dxa"/>
            <w:shd w:val="clear" w:color="auto" w:fill="FFFFFF" w:themeFill="background1"/>
          </w:tcPr>
          <w:p w14:paraId="0AC58929" w14:textId="77777777" w:rsidR="00BC1D0E" w:rsidRPr="00BC1D0E" w:rsidRDefault="00BC1D0E" w:rsidP="006D2A8C">
            <w:r w:rsidRPr="00BC1D0E">
              <w:rPr>
                <w:noProof/>
              </w:rPr>
              <mc:AlternateContent>
                <mc:Choice Requires="wps">
                  <w:drawing>
                    <wp:anchor distT="0" distB="0" distL="114300" distR="114300" simplePos="0" relativeHeight="251663360" behindDoc="0" locked="0" layoutInCell="1" allowOverlap="1" wp14:anchorId="58067DE4" wp14:editId="0445AA79">
                      <wp:simplePos x="0" y="0"/>
                      <wp:positionH relativeFrom="column">
                        <wp:posOffset>-5080</wp:posOffset>
                      </wp:positionH>
                      <wp:positionV relativeFrom="paragraph">
                        <wp:posOffset>207645</wp:posOffset>
                      </wp:positionV>
                      <wp:extent cx="727710" cy="406400"/>
                      <wp:effectExtent l="0" t="12700" r="21590" b="25400"/>
                      <wp:wrapNone/>
                      <wp:docPr id="5" name="Right Arrow 5"/>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3F4F56" id="Right Arrow 5" o:spid="_x0000_s1026" type="#_x0000_t13" style="position:absolute;margin-left:-.4pt;margin-top:16.35pt;width:57.3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upDDF4AAA&#13;&#10;AAwBAAAPAAAAAAAAAAAAAAAAANQEAABkcnMvZG93bnJldi54bWxQSwUGAAAAAAQABADzAAAA4QUA&#13;&#10;AAAA&#13;&#10;" adj="15569" fillcolor="#0d5435" strokecolor="#1f3763 [1604]" strokeweight="1pt"/>
                  </w:pict>
                </mc:Fallback>
              </mc:AlternateContent>
            </w:r>
          </w:p>
        </w:tc>
        <w:tc>
          <w:tcPr>
            <w:tcW w:w="4678" w:type="dxa"/>
            <w:shd w:val="clear" w:color="auto" w:fill="FFFFFF" w:themeFill="background1"/>
          </w:tcPr>
          <w:p w14:paraId="572B901B" w14:textId="77777777" w:rsidR="00BC1D0E" w:rsidRPr="00BC1D0E" w:rsidRDefault="00BC1D0E" w:rsidP="006D2A8C">
            <w:r w:rsidRPr="00BC1D0E">
              <w:t>Izlazi:</w:t>
            </w:r>
          </w:p>
        </w:tc>
      </w:tr>
      <w:tr w:rsidR="00BC1D0E" w:rsidRPr="00BC1D0E" w14:paraId="4D198AF9" w14:textId="77777777" w:rsidTr="00BC1D0E">
        <w:tc>
          <w:tcPr>
            <w:tcW w:w="3114" w:type="dxa"/>
          </w:tcPr>
          <w:p w14:paraId="7E831290" w14:textId="07A96426" w:rsidR="00BC1D0E" w:rsidRPr="00BC1D0E" w:rsidRDefault="00BC1D0E" w:rsidP="00B9205F">
            <w:pPr>
              <w:pStyle w:val="ListParagraph"/>
              <w:numPr>
                <w:ilvl w:val="0"/>
                <w:numId w:val="7"/>
              </w:numPr>
              <w:tabs>
                <w:tab w:val="left" w:pos="142"/>
              </w:tabs>
              <w:jc w:val="left"/>
            </w:pPr>
            <w:r w:rsidRPr="00BC1D0E">
              <w:t>Registar informacijske imovin</w:t>
            </w:r>
            <w:r w:rsidR="00B9205F">
              <w:t>e</w:t>
            </w:r>
          </w:p>
        </w:tc>
        <w:tc>
          <w:tcPr>
            <w:tcW w:w="1276" w:type="dxa"/>
          </w:tcPr>
          <w:p w14:paraId="056C19F3" w14:textId="77777777" w:rsidR="00BC1D0E" w:rsidRPr="00BC1D0E" w:rsidRDefault="00BC1D0E" w:rsidP="006D2A8C"/>
        </w:tc>
        <w:tc>
          <w:tcPr>
            <w:tcW w:w="4678" w:type="dxa"/>
          </w:tcPr>
          <w:p w14:paraId="7DAF6744" w14:textId="37795501" w:rsidR="00BC1D0E" w:rsidRPr="00BC1D0E" w:rsidRDefault="00BC1D0E" w:rsidP="00B9205F">
            <w:pPr>
              <w:pStyle w:val="ListParagraph"/>
              <w:numPr>
                <w:ilvl w:val="0"/>
                <w:numId w:val="9"/>
              </w:numPr>
              <w:tabs>
                <w:tab w:val="left" w:pos="142"/>
              </w:tabs>
              <w:jc w:val="left"/>
            </w:pPr>
            <w:r w:rsidRPr="00BC1D0E">
              <w:t>Ažurirani Registar informacijske imovine</w:t>
            </w:r>
          </w:p>
        </w:tc>
      </w:tr>
      <w:bookmarkEnd w:id="31"/>
      <w:bookmarkEnd w:id="32"/>
    </w:tbl>
    <w:p w14:paraId="67F54241" w14:textId="77777777" w:rsidR="00BC1D0E" w:rsidRPr="0035543F" w:rsidRDefault="00BC1D0E" w:rsidP="00BC1D0E"/>
    <w:tbl>
      <w:tblPr>
        <w:tblW w:w="896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41"/>
        <w:gridCol w:w="1191"/>
        <w:gridCol w:w="6237"/>
      </w:tblGrid>
      <w:tr w:rsidR="00BC1D0E" w:rsidRPr="00BC1D0E" w14:paraId="0899714E" w14:textId="77777777" w:rsidTr="00B9205F">
        <w:trPr>
          <w:trHeight w:val="567"/>
        </w:trPr>
        <w:tc>
          <w:tcPr>
            <w:tcW w:w="1541" w:type="dxa"/>
            <w:shd w:val="clear" w:color="auto" w:fill="0D5435"/>
            <w:vAlign w:val="center"/>
            <w:hideMark/>
          </w:tcPr>
          <w:p w14:paraId="46FBA29C" w14:textId="77777777" w:rsidR="00BC1D0E" w:rsidRPr="00BC1D0E" w:rsidRDefault="00BC1D0E" w:rsidP="006D2A8C">
            <w:pPr>
              <w:spacing w:before="60" w:after="60"/>
              <w:rPr>
                <w:sz w:val="18"/>
                <w:szCs w:val="20"/>
              </w:rPr>
            </w:pPr>
            <w:r w:rsidRPr="00BC1D0E">
              <w:rPr>
                <w:sz w:val="18"/>
                <w:szCs w:val="20"/>
              </w:rPr>
              <w:t>Sigurnosni zahtjev</w:t>
            </w:r>
          </w:p>
        </w:tc>
        <w:tc>
          <w:tcPr>
            <w:tcW w:w="1191" w:type="dxa"/>
            <w:shd w:val="clear" w:color="auto" w:fill="0D5435"/>
            <w:vAlign w:val="center"/>
            <w:hideMark/>
          </w:tcPr>
          <w:p w14:paraId="3E9A2332" w14:textId="77777777" w:rsidR="00BC1D0E" w:rsidRPr="00BC1D0E" w:rsidRDefault="00BC1D0E" w:rsidP="006D2A8C">
            <w:pPr>
              <w:spacing w:before="60" w:after="60"/>
              <w:rPr>
                <w:sz w:val="18"/>
                <w:szCs w:val="20"/>
              </w:rPr>
            </w:pPr>
            <w:r w:rsidRPr="00BC1D0E">
              <w:rPr>
                <w:sz w:val="18"/>
                <w:szCs w:val="20"/>
              </w:rPr>
              <w:t>Ocjena</w:t>
            </w:r>
          </w:p>
        </w:tc>
        <w:tc>
          <w:tcPr>
            <w:tcW w:w="6237" w:type="dxa"/>
            <w:shd w:val="clear" w:color="auto" w:fill="0D5435"/>
            <w:vAlign w:val="center"/>
            <w:hideMark/>
          </w:tcPr>
          <w:p w14:paraId="3A451DEA" w14:textId="77777777" w:rsidR="00BC1D0E" w:rsidRPr="00BC1D0E" w:rsidRDefault="00BC1D0E" w:rsidP="006D2A8C">
            <w:pPr>
              <w:spacing w:before="60" w:after="60"/>
              <w:rPr>
                <w:sz w:val="18"/>
                <w:szCs w:val="20"/>
              </w:rPr>
            </w:pPr>
            <w:r w:rsidRPr="00BC1D0E">
              <w:rPr>
                <w:sz w:val="18"/>
                <w:szCs w:val="20"/>
              </w:rPr>
              <w:t>Opis ocjene</w:t>
            </w:r>
          </w:p>
        </w:tc>
      </w:tr>
      <w:tr w:rsidR="00BC1D0E" w:rsidRPr="00BC1D0E" w14:paraId="417BA2C7" w14:textId="77777777" w:rsidTr="00B9205F">
        <w:trPr>
          <w:trHeight w:val="540"/>
        </w:trPr>
        <w:tc>
          <w:tcPr>
            <w:tcW w:w="1541" w:type="dxa"/>
            <w:vMerge w:val="restart"/>
            <w:shd w:val="clear" w:color="auto" w:fill="auto"/>
            <w:vAlign w:val="center"/>
            <w:hideMark/>
          </w:tcPr>
          <w:p w14:paraId="019C61E8" w14:textId="77777777" w:rsidR="00BC1D0E" w:rsidRPr="00BC1D0E" w:rsidRDefault="00BC1D0E" w:rsidP="006D2A8C">
            <w:pPr>
              <w:spacing w:before="60" w:after="60"/>
              <w:rPr>
                <w:sz w:val="18"/>
                <w:szCs w:val="20"/>
              </w:rPr>
            </w:pPr>
            <w:r w:rsidRPr="00BC1D0E">
              <w:rPr>
                <w:sz w:val="18"/>
                <w:szCs w:val="20"/>
              </w:rPr>
              <w:t>POVJERLJIVOST</w:t>
            </w:r>
          </w:p>
        </w:tc>
        <w:tc>
          <w:tcPr>
            <w:tcW w:w="1191" w:type="dxa"/>
            <w:shd w:val="clear" w:color="000000" w:fill="FFFFFF"/>
            <w:vAlign w:val="center"/>
            <w:hideMark/>
          </w:tcPr>
          <w:p w14:paraId="6764A6F8"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1B665FF3" w14:textId="77777777" w:rsidR="00BC1D0E" w:rsidRPr="00BC1D0E" w:rsidRDefault="00BC1D0E" w:rsidP="006D2A8C">
            <w:pPr>
              <w:spacing w:before="60" w:after="60"/>
              <w:rPr>
                <w:sz w:val="18"/>
                <w:szCs w:val="20"/>
              </w:rPr>
            </w:pPr>
            <w:r w:rsidRPr="00BC1D0E">
              <w:rPr>
                <w:sz w:val="18"/>
                <w:szCs w:val="20"/>
              </w:rPr>
              <w:t xml:space="preserve">Podaci koji su predviđeni za </w:t>
            </w:r>
            <w:r w:rsidRPr="00BC1D0E">
              <w:rPr>
                <w:b/>
                <w:bCs/>
                <w:sz w:val="18"/>
                <w:szCs w:val="20"/>
              </w:rPr>
              <w:t>javno objavljivanje</w:t>
            </w:r>
            <w:r w:rsidRPr="00BC1D0E">
              <w:rPr>
                <w:sz w:val="18"/>
                <w:szCs w:val="20"/>
              </w:rPr>
              <w:t>, odnosno koji se nedvojbeno mogu javno objaviti bez ograničenja.</w:t>
            </w:r>
          </w:p>
        </w:tc>
      </w:tr>
      <w:tr w:rsidR="00BC1D0E" w:rsidRPr="00BC1D0E" w14:paraId="1786EA3B" w14:textId="77777777" w:rsidTr="00B9205F">
        <w:trPr>
          <w:trHeight w:val="1050"/>
        </w:trPr>
        <w:tc>
          <w:tcPr>
            <w:tcW w:w="1541" w:type="dxa"/>
            <w:vMerge/>
            <w:vAlign w:val="center"/>
            <w:hideMark/>
          </w:tcPr>
          <w:p w14:paraId="3F207A4B" w14:textId="77777777" w:rsidR="00BC1D0E" w:rsidRPr="00BC1D0E" w:rsidRDefault="00BC1D0E" w:rsidP="006D2A8C">
            <w:pPr>
              <w:spacing w:before="60" w:after="60"/>
              <w:rPr>
                <w:sz w:val="18"/>
                <w:szCs w:val="20"/>
              </w:rPr>
            </w:pPr>
          </w:p>
        </w:tc>
        <w:tc>
          <w:tcPr>
            <w:tcW w:w="1191" w:type="dxa"/>
            <w:shd w:val="clear" w:color="auto" w:fill="auto"/>
            <w:vAlign w:val="center"/>
            <w:hideMark/>
          </w:tcPr>
          <w:p w14:paraId="5C006C75"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74D9CD9" w14:textId="0610B389" w:rsidR="00BC1D0E" w:rsidRPr="00BC1D0E" w:rsidRDefault="00BC1D0E" w:rsidP="006D2A8C">
            <w:pPr>
              <w:spacing w:before="60" w:after="60"/>
              <w:rPr>
                <w:sz w:val="18"/>
                <w:szCs w:val="20"/>
              </w:rPr>
            </w:pPr>
            <w:r w:rsidRPr="00BC1D0E">
              <w:rPr>
                <w:sz w:val="18"/>
                <w:szCs w:val="20"/>
              </w:rPr>
              <w:t xml:space="preserve">Podaci koji su namijenjeni </w:t>
            </w:r>
            <w:r w:rsidRPr="00BC1D0E">
              <w:rPr>
                <w:b/>
                <w:bCs/>
                <w:sz w:val="18"/>
                <w:szCs w:val="20"/>
              </w:rPr>
              <w:t>internoj upotrebi</w:t>
            </w:r>
            <w:r w:rsidRPr="00BC1D0E">
              <w:rPr>
                <w:sz w:val="18"/>
                <w:szCs w:val="20"/>
              </w:rPr>
              <w:t xml:space="preserve"> i to bez ograničenja za sve zaposlenike. Ovi podaci se mogu karakterizirati kao osjetljivi ako bi dospjeli u javnost. Podacima mogu pristupiti i osobe koje nisu zaposlenici </w:t>
            </w:r>
            <w:r w:rsidR="00B3065F">
              <w:rPr>
                <w:color w:val="000000"/>
                <w:sz w:val="18"/>
                <w:szCs w:val="20"/>
              </w:rPr>
              <w:t>Društva</w:t>
            </w:r>
            <w:r w:rsidRPr="00BC1D0E">
              <w:rPr>
                <w:sz w:val="18"/>
                <w:szCs w:val="20"/>
              </w:rPr>
              <w:t>, ali tek uz odobrenje vlasnika informacija. Gubitak povjerljivosti informacija stupnja tajnosti: „</w:t>
            </w:r>
            <w:r w:rsidRPr="00BC1D0E">
              <w:rPr>
                <w:b/>
                <w:sz w:val="18"/>
                <w:szCs w:val="20"/>
              </w:rPr>
              <w:t>Interno</w:t>
            </w:r>
            <w:r w:rsidRPr="00BC1D0E">
              <w:rPr>
                <w:sz w:val="18"/>
                <w:szCs w:val="20"/>
              </w:rPr>
              <w:t xml:space="preserve">“ prema </w:t>
            </w:r>
            <w:r w:rsidRPr="00BC1D0E">
              <w:rPr>
                <w:i/>
                <w:sz w:val="18"/>
                <w:szCs w:val="20"/>
              </w:rPr>
              <w:t>Pravilniku o klasifikaciji informacija</w:t>
            </w:r>
            <w:r w:rsidRPr="00BC1D0E">
              <w:rPr>
                <w:sz w:val="18"/>
                <w:szCs w:val="20"/>
              </w:rPr>
              <w:t>.</w:t>
            </w:r>
          </w:p>
        </w:tc>
      </w:tr>
      <w:tr w:rsidR="00BC1D0E" w:rsidRPr="00BC1D0E" w14:paraId="4052F258" w14:textId="77777777" w:rsidTr="00B9205F">
        <w:trPr>
          <w:trHeight w:val="1050"/>
        </w:trPr>
        <w:tc>
          <w:tcPr>
            <w:tcW w:w="1541" w:type="dxa"/>
            <w:vMerge/>
            <w:vAlign w:val="center"/>
            <w:hideMark/>
          </w:tcPr>
          <w:p w14:paraId="2DD49228" w14:textId="77777777" w:rsidR="00BC1D0E" w:rsidRPr="00BC1D0E" w:rsidRDefault="00BC1D0E" w:rsidP="006D2A8C">
            <w:pPr>
              <w:spacing w:before="60" w:after="60"/>
              <w:rPr>
                <w:sz w:val="18"/>
                <w:szCs w:val="20"/>
              </w:rPr>
            </w:pPr>
          </w:p>
        </w:tc>
        <w:tc>
          <w:tcPr>
            <w:tcW w:w="1191" w:type="dxa"/>
            <w:shd w:val="clear" w:color="auto" w:fill="auto"/>
            <w:vAlign w:val="center"/>
            <w:hideMark/>
          </w:tcPr>
          <w:p w14:paraId="4EF7CF4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13D7292A" w14:textId="73DA09F9" w:rsidR="00BC1D0E" w:rsidRPr="00BC1D0E" w:rsidRDefault="00BC1D0E" w:rsidP="008928CD">
            <w:pPr>
              <w:spacing w:before="60" w:after="60"/>
              <w:rPr>
                <w:sz w:val="18"/>
                <w:szCs w:val="20"/>
              </w:rPr>
            </w:pPr>
            <w:r w:rsidRPr="00BC1D0E">
              <w:rPr>
                <w:sz w:val="18"/>
                <w:szCs w:val="20"/>
              </w:rPr>
              <w:t xml:space="preserve">Podaci čiji značaj je osjetljiv za </w:t>
            </w:r>
            <w:r w:rsidR="008928CD">
              <w:rPr>
                <w:sz w:val="18"/>
                <w:szCs w:val="20"/>
              </w:rPr>
              <w:t xml:space="preserve">Društvo </w:t>
            </w:r>
            <w:r w:rsidRPr="00BC1D0E">
              <w:rPr>
                <w:sz w:val="18"/>
                <w:szCs w:val="20"/>
              </w:rPr>
              <w:t xml:space="preserve">te nije moguć neograničeni dostup za sve zaposlenike. Pristup podacima mora biti </w:t>
            </w:r>
            <w:r w:rsidRPr="00BC1D0E">
              <w:rPr>
                <w:b/>
                <w:bCs/>
                <w:sz w:val="18"/>
                <w:szCs w:val="20"/>
              </w:rPr>
              <w:t>prethodno odobren od vlasnika</w:t>
            </w:r>
            <w:r w:rsidRPr="00BC1D0E">
              <w:rPr>
                <w:sz w:val="18"/>
                <w:szCs w:val="20"/>
              </w:rPr>
              <w:t xml:space="preserve"> te prilikom pristupa mora biti nedvojbeno ustanovljen identitet zaposlenika. Gubitak povjerljivosti informacija stupnja tajnosti: „</w:t>
            </w:r>
            <w:r w:rsidRPr="00BC1D0E">
              <w:rPr>
                <w:b/>
                <w:sz w:val="18"/>
                <w:szCs w:val="20"/>
              </w:rPr>
              <w:t>Povjerljivo</w:t>
            </w:r>
            <w:r w:rsidRPr="00BC1D0E">
              <w:rPr>
                <w:sz w:val="18"/>
                <w:szCs w:val="20"/>
              </w:rPr>
              <w:t xml:space="preserve">“ prema </w:t>
            </w:r>
            <w:r w:rsidRPr="00BC1D0E">
              <w:rPr>
                <w:i/>
                <w:sz w:val="18"/>
                <w:szCs w:val="20"/>
              </w:rPr>
              <w:t>Pravilniku o klasifikaciji informacija.</w:t>
            </w:r>
          </w:p>
        </w:tc>
      </w:tr>
      <w:tr w:rsidR="00BC1D0E" w:rsidRPr="00BC1D0E" w14:paraId="7FA4EC22" w14:textId="77777777" w:rsidTr="00B9205F">
        <w:trPr>
          <w:trHeight w:val="540"/>
        </w:trPr>
        <w:tc>
          <w:tcPr>
            <w:tcW w:w="1541" w:type="dxa"/>
            <w:vMerge/>
            <w:vAlign w:val="center"/>
            <w:hideMark/>
          </w:tcPr>
          <w:p w14:paraId="4927FBC0" w14:textId="77777777" w:rsidR="00BC1D0E" w:rsidRPr="00BC1D0E" w:rsidRDefault="00BC1D0E" w:rsidP="006D2A8C">
            <w:pPr>
              <w:spacing w:before="60" w:after="60"/>
              <w:rPr>
                <w:sz w:val="18"/>
                <w:szCs w:val="20"/>
              </w:rPr>
            </w:pPr>
          </w:p>
        </w:tc>
        <w:tc>
          <w:tcPr>
            <w:tcW w:w="1191" w:type="dxa"/>
            <w:shd w:val="clear" w:color="000000" w:fill="FFFFFF"/>
            <w:vAlign w:val="center"/>
            <w:hideMark/>
          </w:tcPr>
          <w:p w14:paraId="1DF1D02A" w14:textId="77777777" w:rsidR="00BC1D0E" w:rsidRPr="00BC1D0E" w:rsidRDefault="00BC1D0E" w:rsidP="006D2A8C">
            <w:pPr>
              <w:spacing w:before="60" w:after="60"/>
              <w:rPr>
                <w:sz w:val="18"/>
                <w:szCs w:val="20"/>
              </w:rPr>
            </w:pPr>
            <w:r w:rsidRPr="00BC1D0E">
              <w:rPr>
                <w:sz w:val="18"/>
                <w:szCs w:val="20"/>
              </w:rPr>
              <w:t>Ekstremno (4)</w:t>
            </w:r>
          </w:p>
        </w:tc>
        <w:tc>
          <w:tcPr>
            <w:tcW w:w="6237" w:type="dxa"/>
            <w:shd w:val="clear" w:color="auto" w:fill="auto"/>
            <w:vAlign w:val="center"/>
            <w:hideMark/>
          </w:tcPr>
          <w:p w14:paraId="60CBA5CF" w14:textId="6647AABB" w:rsidR="00BC1D0E" w:rsidRPr="00BC1D0E" w:rsidRDefault="00BC1D0E" w:rsidP="006D2A8C">
            <w:pPr>
              <w:spacing w:before="60" w:after="60"/>
              <w:rPr>
                <w:sz w:val="18"/>
                <w:szCs w:val="20"/>
              </w:rPr>
            </w:pPr>
            <w:r w:rsidRPr="00BC1D0E">
              <w:rPr>
                <w:sz w:val="18"/>
                <w:szCs w:val="20"/>
              </w:rPr>
              <w:t xml:space="preserve">Podaci najvišeg značenja za </w:t>
            </w:r>
            <w:r w:rsidR="008928CD">
              <w:rPr>
                <w:sz w:val="18"/>
                <w:szCs w:val="20"/>
              </w:rPr>
              <w:t>Društvo</w:t>
            </w:r>
            <w:r w:rsidRPr="00BC1D0E">
              <w:rPr>
                <w:sz w:val="18"/>
                <w:szCs w:val="20"/>
              </w:rPr>
              <w:t xml:space="preserve">. Pristup do ovih podataka imaju samo osobe koje dobiju </w:t>
            </w:r>
            <w:r w:rsidRPr="00BC1D0E">
              <w:rPr>
                <w:b/>
                <w:bCs/>
                <w:sz w:val="18"/>
                <w:szCs w:val="20"/>
              </w:rPr>
              <w:t>odobrenje od Uprave</w:t>
            </w:r>
            <w:r w:rsidRPr="00BC1D0E">
              <w:rPr>
                <w:sz w:val="18"/>
                <w:szCs w:val="20"/>
              </w:rPr>
              <w:t>. Gubitak povjerljivosti informacija stupnja tajnosti: „</w:t>
            </w:r>
            <w:r w:rsidRPr="00BC1D0E">
              <w:rPr>
                <w:b/>
                <w:sz w:val="18"/>
                <w:szCs w:val="20"/>
              </w:rPr>
              <w:t>Strogo povjerljivo</w:t>
            </w:r>
            <w:r w:rsidRPr="00BC1D0E">
              <w:rPr>
                <w:sz w:val="18"/>
                <w:szCs w:val="20"/>
              </w:rPr>
              <w:t xml:space="preserve">“ prema </w:t>
            </w:r>
            <w:r w:rsidRPr="00BC1D0E">
              <w:rPr>
                <w:i/>
                <w:sz w:val="18"/>
                <w:szCs w:val="20"/>
              </w:rPr>
              <w:t>Pravilniku o klasifikaciji informacija.</w:t>
            </w:r>
          </w:p>
        </w:tc>
      </w:tr>
      <w:tr w:rsidR="00BC1D0E" w:rsidRPr="00BC1D0E" w14:paraId="3FBAF1FF" w14:textId="77777777" w:rsidTr="00B9205F">
        <w:trPr>
          <w:trHeight w:val="540"/>
        </w:trPr>
        <w:tc>
          <w:tcPr>
            <w:tcW w:w="1541" w:type="dxa"/>
            <w:vMerge w:val="restart"/>
            <w:shd w:val="clear" w:color="auto" w:fill="auto"/>
            <w:vAlign w:val="center"/>
            <w:hideMark/>
          </w:tcPr>
          <w:p w14:paraId="7503D0CE" w14:textId="77777777" w:rsidR="00BC1D0E" w:rsidRPr="00BC1D0E" w:rsidRDefault="00BC1D0E" w:rsidP="006D2A8C">
            <w:pPr>
              <w:spacing w:before="60" w:after="60"/>
              <w:rPr>
                <w:sz w:val="18"/>
                <w:szCs w:val="20"/>
              </w:rPr>
            </w:pPr>
            <w:r w:rsidRPr="00BC1D0E">
              <w:rPr>
                <w:sz w:val="18"/>
                <w:szCs w:val="20"/>
              </w:rPr>
              <w:t>CJELOVITOST</w:t>
            </w:r>
          </w:p>
        </w:tc>
        <w:tc>
          <w:tcPr>
            <w:tcW w:w="1191" w:type="dxa"/>
            <w:shd w:val="clear" w:color="auto" w:fill="auto"/>
            <w:vAlign w:val="center"/>
            <w:hideMark/>
          </w:tcPr>
          <w:p w14:paraId="2E6E63CD"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5BF777C7" w14:textId="77777777"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ali to </w:t>
            </w:r>
            <w:r w:rsidRPr="00BC1D0E">
              <w:rPr>
                <w:b/>
                <w:bCs/>
                <w:sz w:val="18"/>
                <w:szCs w:val="20"/>
              </w:rPr>
              <w:t>ne utječe na odvijanje poslovnog procesa</w:t>
            </w:r>
            <w:r w:rsidRPr="00BC1D0E">
              <w:rPr>
                <w:sz w:val="18"/>
                <w:szCs w:val="20"/>
              </w:rPr>
              <w:t>.</w:t>
            </w:r>
          </w:p>
        </w:tc>
      </w:tr>
      <w:tr w:rsidR="00BC1D0E" w:rsidRPr="00BC1D0E" w14:paraId="4143C2F7" w14:textId="77777777" w:rsidTr="00B9205F">
        <w:trPr>
          <w:trHeight w:val="795"/>
        </w:trPr>
        <w:tc>
          <w:tcPr>
            <w:tcW w:w="1541" w:type="dxa"/>
            <w:vMerge/>
            <w:vAlign w:val="center"/>
            <w:hideMark/>
          </w:tcPr>
          <w:p w14:paraId="01E2A246" w14:textId="77777777" w:rsidR="00BC1D0E" w:rsidRPr="00BC1D0E" w:rsidRDefault="00BC1D0E" w:rsidP="006D2A8C">
            <w:pPr>
              <w:spacing w:before="60" w:after="60"/>
              <w:rPr>
                <w:sz w:val="18"/>
                <w:szCs w:val="20"/>
              </w:rPr>
            </w:pPr>
          </w:p>
        </w:tc>
        <w:tc>
          <w:tcPr>
            <w:tcW w:w="1191" w:type="dxa"/>
            <w:shd w:val="clear" w:color="auto" w:fill="auto"/>
            <w:vAlign w:val="center"/>
            <w:hideMark/>
          </w:tcPr>
          <w:p w14:paraId="6E781AB6"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0A5BCAC" w14:textId="1C253E14"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 xml:space="preserve">utječe na odvijanje poslovnog procesa ali neće prouzročiti financijski gubitak </w:t>
            </w:r>
            <w:r w:rsidRPr="00BC1D0E">
              <w:rPr>
                <w:sz w:val="18"/>
                <w:szCs w:val="20"/>
              </w:rPr>
              <w:t xml:space="preserve">za </w:t>
            </w:r>
            <w:r w:rsidR="008928CD">
              <w:rPr>
                <w:color w:val="000000"/>
                <w:sz w:val="18"/>
                <w:szCs w:val="20"/>
              </w:rPr>
              <w:t>Društvo</w:t>
            </w:r>
            <w:r w:rsidRPr="00BC1D0E">
              <w:rPr>
                <w:sz w:val="18"/>
                <w:szCs w:val="20"/>
              </w:rPr>
              <w:t>.</w:t>
            </w:r>
          </w:p>
        </w:tc>
      </w:tr>
      <w:tr w:rsidR="00BC1D0E" w:rsidRPr="00BC1D0E" w14:paraId="6DED3FC5" w14:textId="77777777" w:rsidTr="00B9205F">
        <w:trPr>
          <w:trHeight w:val="795"/>
        </w:trPr>
        <w:tc>
          <w:tcPr>
            <w:tcW w:w="1541" w:type="dxa"/>
            <w:vMerge/>
            <w:vAlign w:val="center"/>
            <w:hideMark/>
          </w:tcPr>
          <w:p w14:paraId="5F9B4536" w14:textId="77777777" w:rsidR="00BC1D0E" w:rsidRPr="00BC1D0E" w:rsidRDefault="00BC1D0E" w:rsidP="006D2A8C">
            <w:pPr>
              <w:spacing w:before="60" w:after="60"/>
              <w:rPr>
                <w:sz w:val="18"/>
                <w:szCs w:val="20"/>
              </w:rPr>
            </w:pPr>
          </w:p>
        </w:tc>
        <w:tc>
          <w:tcPr>
            <w:tcW w:w="1191" w:type="dxa"/>
            <w:shd w:val="clear" w:color="000000" w:fill="FFFFFF"/>
            <w:vAlign w:val="center"/>
            <w:hideMark/>
          </w:tcPr>
          <w:p w14:paraId="62BB0D65"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3CFDC14B" w14:textId="2268B35D"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utječe na odvijanje poslovnog procesa i može prouzročiti financijski gubitak</w:t>
            </w:r>
            <w:r w:rsidRPr="00BC1D0E">
              <w:rPr>
                <w:sz w:val="18"/>
                <w:szCs w:val="20"/>
              </w:rPr>
              <w:t xml:space="preserve"> za </w:t>
            </w:r>
            <w:r w:rsidR="008928CD">
              <w:rPr>
                <w:color w:val="000000"/>
                <w:sz w:val="18"/>
                <w:szCs w:val="20"/>
              </w:rPr>
              <w:t>Društvo</w:t>
            </w:r>
            <w:r w:rsidRPr="00BC1D0E">
              <w:rPr>
                <w:sz w:val="18"/>
                <w:szCs w:val="20"/>
              </w:rPr>
              <w:t>.</w:t>
            </w:r>
          </w:p>
        </w:tc>
      </w:tr>
      <w:tr w:rsidR="00BC1D0E" w:rsidRPr="00BC1D0E" w14:paraId="5340C001" w14:textId="77777777" w:rsidTr="00B9205F">
        <w:trPr>
          <w:trHeight w:val="795"/>
        </w:trPr>
        <w:tc>
          <w:tcPr>
            <w:tcW w:w="1541" w:type="dxa"/>
            <w:vMerge/>
            <w:vAlign w:val="center"/>
          </w:tcPr>
          <w:p w14:paraId="41B46D7D" w14:textId="77777777" w:rsidR="00BC1D0E" w:rsidRPr="00BC1D0E" w:rsidRDefault="00BC1D0E" w:rsidP="006D2A8C">
            <w:pPr>
              <w:spacing w:before="60" w:after="60"/>
              <w:rPr>
                <w:sz w:val="18"/>
                <w:szCs w:val="20"/>
              </w:rPr>
            </w:pPr>
          </w:p>
        </w:tc>
        <w:tc>
          <w:tcPr>
            <w:tcW w:w="1191" w:type="dxa"/>
            <w:shd w:val="clear" w:color="000000" w:fill="FFFFFF"/>
            <w:vAlign w:val="center"/>
          </w:tcPr>
          <w:p w14:paraId="41D9373E"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45290F67" w14:textId="492E7186" w:rsidR="00BC1D0E" w:rsidRPr="00BC1D0E" w:rsidRDefault="00BC1D0E" w:rsidP="006D2A8C">
            <w:pPr>
              <w:spacing w:before="60" w:after="60"/>
              <w:rPr>
                <w:color w:val="000000"/>
                <w:sz w:val="18"/>
                <w:szCs w:val="20"/>
              </w:rPr>
            </w:pPr>
            <w:r w:rsidRPr="00BC1D0E">
              <w:rPr>
                <w:color w:val="000000"/>
                <w:sz w:val="18"/>
                <w:szCs w:val="20"/>
              </w:rPr>
              <w:t xml:space="preserve">Podaci čija slučajna ili namjerna promjena rezultira promjenom značenja informacije koju nose te takva promjena </w:t>
            </w:r>
            <w:r w:rsidRPr="00BC1D0E">
              <w:rPr>
                <w:b/>
                <w:bCs/>
                <w:color w:val="000000"/>
                <w:sz w:val="18"/>
                <w:szCs w:val="20"/>
              </w:rPr>
              <w:t>znatno utječe na odvijanje poslovnog procesa i sigurno će prouzročiti znatan financijski gubitak</w:t>
            </w:r>
            <w:r w:rsidRPr="00BC1D0E">
              <w:rPr>
                <w:color w:val="000000"/>
                <w:sz w:val="18"/>
                <w:szCs w:val="20"/>
              </w:rPr>
              <w:t xml:space="preserve"> za </w:t>
            </w:r>
            <w:r w:rsidR="008928CD">
              <w:rPr>
                <w:color w:val="000000"/>
                <w:sz w:val="18"/>
                <w:szCs w:val="20"/>
              </w:rPr>
              <w:t>Društvo</w:t>
            </w:r>
            <w:r w:rsidRPr="00BC1D0E">
              <w:rPr>
                <w:color w:val="000000"/>
                <w:sz w:val="18"/>
                <w:szCs w:val="20"/>
              </w:rPr>
              <w:t>.</w:t>
            </w:r>
          </w:p>
        </w:tc>
      </w:tr>
      <w:tr w:rsidR="00BC1D0E" w:rsidRPr="00BC1D0E" w14:paraId="48997EE7" w14:textId="77777777" w:rsidTr="00B9205F">
        <w:trPr>
          <w:trHeight w:val="315"/>
        </w:trPr>
        <w:tc>
          <w:tcPr>
            <w:tcW w:w="1541" w:type="dxa"/>
            <w:vMerge w:val="restart"/>
            <w:shd w:val="clear" w:color="auto" w:fill="auto"/>
            <w:vAlign w:val="center"/>
            <w:hideMark/>
          </w:tcPr>
          <w:p w14:paraId="7612BB2E" w14:textId="77777777" w:rsidR="00BC1D0E" w:rsidRPr="00BC1D0E" w:rsidRDefault="00BC1D0E" w:rsidP="006D2A8C">
            <w:pPr>
              <w:spacing w:before="60" w:after="60"/>
              <w:rPr>
                <w:sz w:val="18"/>
                <w:szCs w:val="20"/>
              </w:rPr>
            </w:pPr>
            <w:r w:rsidRPr="00BC1D0E">
              <w:rPr>
                <w:sz w:val="18"/>
                <w:szCs w:val="20"/>
              </w:rPr>
              <w:t>RASPOLOŽIVOST</w:t>
            </w:r>
          </w:p>
        </w:tc>
        <w:tc>
          <w:tcPr>
            <w:tcW w:w="1191" w:type="dxa"/>
            <w:shd w:val="clear" w:color="auto" w:fill="auto"/>
            <w:vAlign w:val="center"/>
            <w:hideMark/>
          </w:tcPr>
          <w:p w14:paraId="47A3C53A"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70D2231A" w14:textId="77777777" w:rsidR="00BC1D0E" w:rsidRPr="00BC1D0E" w:rsidRDefault="00BC1D0E" w:rsidP="006D2A8C">
            <w:pPr>
              <w:spacing w:before="60" w:after="60"/>
              <w:rPr>
                <w:color w:val="000000"/>
                <w:sz w:val="18"/>
                <w:szCs w:val="20"/>
              </w:rPr>
            </w:pPr>
            <w:r w:rsidRPr="00BC1D0E">
              <w:rPr>
                <w:color w:val="000000"/>
                <w:sz w:val="18"/>
                <w:szCs w:val="20"/>
              </w:rPr>
              <w:t xml:space="preserve">Više od jednog tjedna. </w:t>
            </w:r>
            <w:r w:rsidRPr="00BC1D0E">
              <w:rPr>
                <w:sz w:val="18"/>
                <w:szCs w:val="20"/>
              </w:rPr>
              <w:t>Nedostupnost  uzrokuje gomilanje posla i zaostaci u radu.</w:t>
            </w:r>
          </w:p>
        </w:tc>
      </w:tr>
      <w:tr w:rsidR="00BC1D0E" w:rsidRPr="00BC1D0E" w14:paraId="6AAE9F22" w14:textId="77777777" w:rsidTr="00B9205F">
        <w:trPr>
          <w:trHeight w:val="540"/>
        </w:trPr>
        <w:tc>
          <w:tcPr>
            <w:tcW w:w="1541" w:type="dxa"/>
            <w:vMerge/>
            <w:vAlign w:val="center"/>
            <w:hideMark/>
          </w:tcPr>
          <w:p w14:paraId="43A63178" w14:textId="77777777" w:rsidR="00BC1D0E" w:rsidRPr="00BC1D0E" w:rsidRDefault="00BC1D0E" w:rsidP="006D2A8C">
            <w:pPr>
              <w:spacing w:before="60" w:after="60"/>
              <w:rPr>
                <w:sz w:val="18"/>
                <w:szCs w:val="20"/>
              </w:rPr>
            </w:pPr>
          </w:p>
        </w:tc>
        <w:tc>
          <w:tcPr>
            <w:tcW w:w="1191" w:type="dxa"/>
            <w:shd w:val="clear" w:color="auto" w:fill="auto"/>
            <w:vAlign w:val="center"/>
            <w:hideMark/>
          </w:tcPr>
          <w:p w14:paraId="59C4A25B"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67956E20" w14:textId="77777777" w:rsidR="00BC1D0E" w:rsidRPr="00BC1D0E" w:rsidRDefault="00BC1D0E" w:rsidP="006D2A8C">
            <w:pPr>
              <w:spacing w:before="60" w:after="60"/>
              <w:rPr>
                <w:color w:val="000000"/>
                <w:sz w:val="18"/>
                <w:szCs w:val="20"/>
              </w:rPr>
            </w:pPr>
            <w:r w:rsidRPr="00BC1D0E">
              <w:rPr>
                <w:color w:val="000000"/>
                <w:sz w:val="18"/>
                <w:szCs w:val="20"/>
              </w:rPr>
              <w:t xml:space="preserve">Manje od tjedan dana. </w:t>
            </w:r>
            <w:r w:rsidRPr="00BC1D0E">
              <w:rPr>
                <w:sz w:val="18"/>
                <w:szCs w:val="20"/>
              </w:rPr>
              <w:t>Nedostupnost uzrokuje značajne probleme u radu i mogući gubitak novaca.</w:t>
            </w:r>
          </w:p>
        </w:tc>
      </w:tr>
      <w:tr w:rsidR="00BC1D0E" w:rsidRPr="00BC1D0E" w14:paraId="10975502" w14:textId="77777777" w:rsidTr="00B9205F">
        <w:trPr>
          <w:trHeight w:val="315"/>
        </w:trPr>
        <w:tc>
          <w:tcPr>
            <w:tcW w:w="1541" w:type="dxa"/>
            <w:vMerge/>
            <w:vAlign w:val="center"/>
            <w:hideMark/>
          </w:tcPr>
          <w:p w14:paraId="481BCF91" w14:textId="77777777" w:rsidR="00BC1D0E" w:rsidRPr="00BC1D0E" w:rsidRDefault="00BC1D0E" w:rsidP="006D2A8C">
            <w:pPr>
              <w:spacing w:before="60" w:after="60"/>
              <w:rPr>
                <w:sz w:val="18"/>
                <w:szCs w:val="20"/>
              </w:rPr>
            </w:pPr>
          </w:p>
        </w:tc>
        <w:tc>
          <w:tcPr>
            <w:tcW w:w="1191" w:type="dxa"/>
            <w:shd w:val="clear" w:color="000000" w:fill="FFFFFF"/>
            <w:vAlign w:val="center"/>
            <w:hideMark/>
          </w:tcPr>
          <w:p w14:paraId="6DF6BCF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2DBB96DD"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dana. </w:t>
            </w:r>
            <w:r w:rsidRPr="00BC1D0E">
              <w:rPr>
                <w:sz w:val="18"/>
                <w:szCs w:val="20"/>
              </w:rPr>
              <w:t>Nedostupnost uzrokuje sigurni gubitak novaca.</w:t>
            </w:r>
          </w:p>
        </w:tc>
      </w:tr>
      <w:tr w:rsidR="00BC1D0E" w:rsidRPr="00BC1D0E" w14:paraId="7ECEC5B9" w14:textId="77777777" w:rsidTr="00B9205F">
        <w:trPr>
          <w:trHeight w:val="315"/>
        </w:trPr>
        <w:tc>
          <w:tcPr>
            <w:tcW w:w="1541" w:type="dxa"/>
            <w:vMerge/>
            <w:vAlign w:val="center"/>
          </w:tcPr>
          <w:p w14:paraId="18A4F476" w14:textId="77777777" w:rsidR="00BC1D0E" w:rsidRPr="00BC1D0E" w:rsidRDefault="00BC1D0E" w:rsidP="006D2A8C">
            <w:pPr>
              <w:spacing w:before="60" w:after="60"/>
              <w:rPr>
                <w:sz w:val="18"/>
                <w:szCs w:val="20"/>
              </w:rPr>
            </w:pPr>
          </w:p>
        </w:tc>
        <w:tc>
          <w:tcPr>
            <w:tcW w:w="1191" w:type="dxa"/>
            <w:shd w:val="clear" w:color="000000" w:fill="FFFFFF"/>
            <w:vAlign w:val="center"/>
          </w:tcPr>
          <w:p w14:paraId="0B431854"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2809109B"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sata. </w:t>
            </w:r>
            <w:r w:rsidRPr="00BC1D0E">
              <w:rPr>
                <w:sz w:val="18"/>
              </w:rPr>
              <w:t>Nedostupnost uzrokuje značajne probleme i predstavlja potencijalni gubitak tržišne pozicije.</w:t>
            </w:r>
          </w:p>
        </w:tc>
      </w:tr>
    </w:tbl>
    <w:p w14:paraId="6DDB1075" w14:textId="21FFD2B4" w:rsidR="00B9205F" w:rsidRPr="00B9205F" w:rsidRDefault="00B9205F" w:rsidP="00B9205F">
      <w:pPr>
        <w:pStyle w:val="Caption"/>
        <w:rPr>
          <w:szCs w:val="20"/>
        </w:rPr>
      </w:pPr>
      <w:r w:rsidRPr="00B9205F">
        <w:rPr>
          <w:szCs w:val="20"/>
        </w:rPr>
        <w:t xml:space="preserve">Tablica </w:t>
      </w:r>
      <w:r w:rsidRPr="00B9205F">
        <w:rPr>
          <w:szCs w:val="20"/>
        </w:rPr>
        <w:fldChar w:fldCharType="begin"/>
      </w:r>
      <w:r w:rsidRPr="00B9205F">
        <w:rPr>
          <w:szCs w:val="20"/>
        </w:rPr>
        <w:instrText xml:space="preserve"> SEQ Tablica \* ARABIC </w:instrText>
      </w:r>
      <w:r w:rsidRPr="00B9205F">
        <w:rPr>
          <w:szCs w:val="20"/>
        </w:rPr>
        <w:fldChar w:fldCharType="separate"/>
      </w:r>
      <w:r w:rsidR="00E5334A">
        <w:rPr>
          <w:noProof/>
          <w:szCs w:val="20"/>
        </w:rPr>
        <w:t>1</w:t>
      </w:r>
      <w:r w:rsidRPr="00B9205F">
        <w:rPr>
          <w:szCs w:val="20"/>
        </w:rPr>
        <w:fldChar w:fldCharType="end"/>
      </w:r>
      <w:r w:rsidRPr="00B9205F">
        <w:rPr>
          <w:szCs w:val="20"/>
        </w:rPr>
        <w:t>. Vrijednosti imovine</w:t>
      </w:r>
    </w:p>
    <w:p w14:paraId="0EE99857" w14:textId="03584EFE" w:rsidR="00DE3937" w:rsidRDefault="007E059D" w:rsidP="007E059D">
      <w:pPr>
        <w:pStyle w:val="Heading2"/>
        <w:keepLines/>
        <w:numPr>
          <w:ilvl w:val="0"/>
          <w:numId w:val="0"/>
        </w:numPr>
        <w:pBdr>
          <w:bottom w:val="single" w:sz="4" w:space="1" w:color="44546A" w:themeColor="text2"/>
        </w:pBdr>
        <w:tabs>
          <w:tab w:val="clear" w:pos="142"/>
        </w:tabs>
        <w:spacing w:before="120"/>
        <w:ind w:left="576" w:hanging="576"/>
      </w:pPr>
      <w:r>
        <w:t>Određivanje početne vrijednosti utjecaja</w:t>
      </w:r>
    </w:p>
    <w:p w14:paraId="2F16F7A2" w14:textId="457B051D" w:rsidR="007E059D" w:rsidRPr="00DE3937" w:rsidRDefault="007E059D" w:rsidP="00B9205F">
      <w:r>
        <w:t>Kod procjene vrijednosti informacijskog resursa, pojedinačne ocjene povjerljivosti (C), cjelovitosti (I), dostupnosti (A) i operativnog utjecaja (O) procjenjuju se posebno.</w:t>
      </w:r>
      <w:r>
        <w:t xml:space="preserve"> </w:t>
      </w:r>
      <w:r>
        <w:t>Kao početna vrijednost za izračun ukupnog utjecaja na informacijski sustav uzima se maksimalna od ovih ocjena (tzv. "max CIAO").</w:t>
      </w:r>
      <w:r>
        <w:t xml:space="preserve"> </w:t>
      </w:r>
      <w:r>
        <w:t>Ova metoda omogućuje da se posebna pažnja posveti onim aspektima imovine koji bi mogli izazvati najveće posljedice po Društvo u slučaju sigurnosnog incidenta.</w:t>
      </w:r>
    </w:p>
    <w:p w14:paraId="3763CD1A"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33" w:name="_Toc441658287"/>
      <w:bookmarkStart w:id="34" w:name="_Toc441658288"/>
      <w:bookmarkStart w:id="35" w:name="_Toc441658289"/>
      <w:bookmarkStart w:id="36" w:name="_Toc441658290"/>
      <w:bookmarkStart w:id="37" w:name="_Toc441658291"/>
      <w:bookmarkStart w:id="38" w:name="_Toc258508789"/>
      <w:bookmarkStart w:id="39" w:name="_Toc441658292"/>
      <w:bookmarkStart w:id="40" w:name="_Toc477873684"/>
      <w:bookmarkEnd w:id="33"/>
      <w:bookmarkEnd w:id="34"/>
      <w:bookmarkEnd w:id="35"/>
      <w:bookmarkEnd w:id="36"/>
      <w:bookmarkEnd w:id="37"/>
      <w:r w:rsidRPr="008E3147">
        <w:t>Određivanje</w:t>
      </w:r>
      <w:r>
        <w:t xml:space="preserve"> obilježja informacijske imovine</w:t>
      </w:r>
      <w:bookmarkEnd w:id="38"/>
      <w:bookmarkEnd w:id="39"/>
      <w:bookmarkEnd w:id="40"/>
    </w:p>
    <w:p w14:paraId="1816F82C" w14:textId="41583BD4" w:rsidR="00BC1D0E" w:rsidRPr="00BC1D0E" w:rsidRDefault="00BC1D0E" w:rsidP="00B9205F">
      <w:r w:rsidRPr="0035543F">
        <w:t xml:space="preserve">Tijekom ove aktivnosti, na temelju popisa informacijske imovine i IT resursa, određuju se obilježja sustava, tj. imovina se grupira prema osnovnim značajkama i prema primjenjivosti istih prijetnji i ranjivosti. Informacijska imovina treba biti tako grupirana da pojednostavljuje proces procjene rizika, a u isto vrijeme vodi računa o različitosti vrijednosti aspekata povjerljivosti, integriteta i raspoloživosti iste kategorije imovine. Npr. nije potrebno popisivati sva korisnička računala unutar </w:t>
      </w:r>
      <w:r w:rsidR="00B3065F">
        <w:t>Društva</w:t>
      </w:r>
      <w:r w:rsidRPr="0035543F">
        <w:t xml:space="preserve"> već je primjereno podijeliti ih na grupe poput kritičnih korisničkih računala i ostalih korisničkih računala.</w:t>
      </w:r>
      <w:r w:rsidR="00B9205F">
        <w:t xml:space="preserve"> </w:t>
      </w:r>
      <w:r w:rsidRPr="00BC1D0E">
        <w:t>Primjer obilježja grubo grupiranih u kategorije su:</w:t>
      </w:r>
    </w:p>
    <w:p w14:paraId="443B713F" w14:textId="77777777" w:rsidR="00BC1D0E" w:rsidRPr="00BC1D0E" w:rsidRDefault="00BC1D0E" w:rsidP="00E16604">
      <w:pPr>
        <w:pStyle w:val="ListParagraph"/>
        <w:numPr>
          <w:ilvl w:val="0"/>
          <w:numId w:val="10"/>
        </w:numPr>
        <w:tabs>
          <w:tab w:val="left" w:pos="142"/>
        </w:tabs>
      </w:pPr>
      <w:r w:rsidRPr="00BC1D0E">
        <w:rPr>
          <w:b/>
        </w:rPr>
        <w:t>Okolina i infrastrukturna</w:t>
      </w:r>
      <w:r w:rsidRPr="00BC1D0E">
        <w:t xml:space="preserve"> – npr. agregat, HVAC na kritičnim lokacijama, Protupožarni sustav, Server sala / Data centar,…</w:t>
      </w:r>
    </w:p>
    <w:p w14:paraId="37745FBE" w14:textId="77777777" w:rsidR="00BC1D0E" w:rsidRPr="00BC1D0E" w:rsidRDefault="00BC1D0E" w:rsidP="00E16604">
      <w:pPr>
        <w:pStyle w:val="ListParagraph"/>
        <w:numPr>
          <w:ilvl w:val="0"/>
          <w:numId w:val="10"/>
        </w:numPr>
        <w:tabs>
          <w:tab w:val="left" w:pos="142"/>
        </w:tabs>
      </w:pPr>
      <w:r w:rsidRPr="00BC1D0E">
        <w:rPr>
          <w:b/>
        </w:rPr>
        <w:t>Softver</w:t>
      </w:r>
      <w:r w:rsidRPr="00BC1D0E">
        <w:t xml:space="preserve"> – npr. Anti malware alati, Aplikacije za nadzor, Backup softver, DBMS/SUBP, Emulator, ERP aplikacije, Komercijalne aplikacije, Operacijski sustavi, Poslovni informacijski sustav, Prilagođene ili po narudžbi razvijene aplikacije, Razvojni alati, Simulator, Sistemske aplikacije,Upravljački programi,Virtualizacijski softver</w:t>
      </w:r>
    </w:p>
    <w:p w14:paraId="0689DE68" w14:textId="77777777" w:rsidR="00BC1D0E" w:rsidRPr="00BC1D0E" w:rsidRDefault="00BC1D0E" w:rsidP="00E16604">
      <w:pPr>
        <w:pStyle w:val="ListParagraph"/>
        <w:numPr>
          <w:ilvl w:val="0"/>
          <w:numId w:val="10"/>
        </w:numPr>
        <w:tabs>
          <w:tab w:val="left" w:pos="142"/>
        </w:tabs>
      </w:pPr>
      <w:r w:rsidRPr="00BC1D0E">
        <w:rPr>
          <w:b/>
        </w:rPr>
        <w:t>Hardver (fizička imovina koja pohranjuje informacije)</w:t>
      </w:r>
      <w:r w:rsidRPr="00BC1D0E">
        <w:t xml:space="preserve"> – npr. Arhivski mediji, Elektronski mediji, Kritična prijenosna/ručna računala, Kritična stolna računala, Mrežna oprema, Terminal, Poslužitelji, Pohrambeni sustav (Storage), Telefonska centrala / PBX</w:t>
      </w:r>
    </w:p>
    <w:p w14:paraId="72260236" w14:textId="77777777" w:rsidR="00BC1D0E" w:rsidRPr="00BC1D0E" w:rsidRDefault="00BC1D0E" w:rsidP="00E16604">
      <w:pPr>
        <w:pStyle w:val="ListParagraph"/>
        <w:numPr>
          <w:ilvl w:val="0"/>
          <w:numId w:val="10"/>
        </w:numPr>
        <w:tabs>
          <w:tab w:val="left" w:pos="142"/>
        </w:tabs>
      </w:pPr>
      <w:r w:rsidRPr="00BC1D0E">
        <w:rPr>
          <w:b/>
        </w:rPr>
        <w:t>Fizička imovina (koja ne pohranjuje informacije)</w:t>
      </w:r>
      <w:r w:rsidRPr="00BC1D0E">
        <w:t xml:space="preserve"> – npr. Čitači (bar kod i slično), Čitači računalnih medija, Fax uređaji, Pisači/plotteri, Skeneri/digitalizator, UPS</w:t>
      </w:r>
    </w:p>
    <w:p w14:paraId="372FC7EE" w14:textId="77777777" w:rsidR="00BC1D0E" w:rsidRPr="00BC1D0E" w:rsidRDefault="00BC1D0E" w:rsidP="00E16604">
      <w:pPr>
        <w:pStyle w:val="ListParagraph"/>
        <w:numPr>
          <w:ilvl w:val="0"/>
          <w:numId w:val="10"/>
        </w:numPr>
        <w:tabs>
          <w:tab w:val="left" w:pos="142"/>
        </w:tabs>
      </w:pPr>
      <w:r w:rsidRPr="00BC1D0E">
        <w:rPr>
          <w:b/>
        </w:rPr>
        <w:t xml:space="preserve">Informacije u elektronskom obliku </w:t>
      </w:r>
      <w:r w:rsidRPr="00BC1D0E">
        <w:t>– npr. baze podataka, elektroničke poruke, poslovna dokumentacija, tehnička dokumentacija, zbirke osobnih podataka</w:t>
      </w:r>
    </w:p>
    <w:p w14:paraId="3F15C81B" w14:textId="77777777" w:rsidR="00BC1D0E" w:rsidRPr="00BC1D0E" w:rsidRDefault="00BC1D0E" w:rsidP="00E16604">
      <w:pPr>
        <w:pStyle w:val="ListParagraph"/>
        <w:numPr>
          <w:ilvl w:val="0"/>
          <w:numId w:val="10"/>
        </w:numPr>
        <w:tabs>
          <w:tab w:val="left" w:pos="142"/>
        </w:tabs>
      </w:pPr>
      <w:r w:rsidRPr="00BC1D0E">
        <w:rPr>
          <w:b/>
        </w:rPr>
        <w:t>Informacije u ne-elektronskom obliku</w:t>
      </w:r>
      <w:r w:rsidRPr="00BC1D0E">
        <w:t xml:space="preserve"> – npr. dokumentacija procesa, fotografije, računi/otpremnice, ugovori, zbirke osobnih podataka</w:t>
      </w:r>
    </w:p>
    <w:p w14:paraId="41AA9B0F" w14:textId="77777777" w:rsidR="00BC1D0E" w:rsidRPr="00BC1D0E" w:rsidRDefault="00BC1D0E" w:rsidP="00E16604">
      <w:pPr>
        <w:pStyle w:val="ListParagraph"/>
        <w:numPr>
          <w:ilvl w:val="0"/>
          <w:numId w:val="10"/>
        </w:numPr>
        <w:tabs>
          <w:tab w:val="left" w:pos="142"/>
        </w:tabs>
      </w:pPr>
      <w:r w:rsidRPr="00BC1D0E">
        <w:rPr>
          <w:b/>
        </w:rPr>
        <w:t>Ljudski resursi</w:t>
      </w:r>
      <w:r w:rsidRPr="00BC1D0E">
        <w:t xml:space="preserve"> – npr. kritični radnici, privremeni radnici, rukovoditelji, stalni radnici, uslužno osoblje,</w:t>
      </w:r>
    </w:p>
    <w:p w14:paraId="490B73D4" w14:textId="77777777" w:rsidR="00BC1D0E" w:rsidRPr="00BC1D0E" w:rsidRDefault="00BC1D0E" w:rsidP="00E16604">
      <w:pPr>
        <w:pStyle w:val="ListParagraph"/>
        <w:numPr>
          <w:ilvl w:val="0"/>
          <w:numId w:val="10"/>
        </w:numPr>
        <w:tabs>
          <w:tab w:val="left" w:pos="142"/>
        </w:tabs>
      </w:pPr>
      <w:r w:rsidRPr="00BC1D0E">
        <w:rPr>
          <w:b/>
        </w:rPr>
        <w:t>Usluge</w:t>
      </w:r>
      <w:r w:rsidRPr="00BC1D0E">
        <w:t xml:space="preserve"> – npr. interni servisi/procesi, partner, podizvođač</w:t>
      </w:r>
    </w:p>
    <w:p w14:paraId="57675CA3" w14:textId="77777777" w:rsidR="00BC1D0E" w:rsidRPr="0035543F" w:rsidRDefault="00BC1D0E" w:rsidP="00BC1D0E">
      <w:r w:rsidRPr="0035543F">
        <w:t>Informacijskoj imovini dodjeljuju se karakteristike navedene u obrascu Registar informacijske imovine</w:t>
      </w:r>
      <w:r>
        <w:t>.</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1752191B" w14:textId="77777777" w:rsidTr="00BC1D0E">
        <w:tc>
          <w:tcPr>
            <w:tcW w:w="3114" w:type="dxa"/>
            <w:shd w:val="clear" w:color="auto" w:fill="FFFFFF" w:themeFill="background1"/>
          </w:tcPr>
          <w:p w14:paraId="3359C423" w14:textId="77777777" w:rsidR="00BC1D0E" w:rsidRPr="00BC1D0E" w:rsidRDefault="00BC1D0E" w:rsidP="006D2A8C">
            <w:r w:rsidRPr="00BC1D0E">
              <w:t>Ulazi:</w:t>
            </w:r>
          </w:p>
        </w:tc>
        <w:tc>
          <w:tcPr>
            <w:tcW w:w="1276" w:type="dxa"/>
            <w:shd w:val="clear" w:color="auto" w:fill="FFFFFF" w:themeFill="background1"/>
          </w:tcPr>
          <w:p w14:paraId="15C65446" w14:textId="77777777" w:rsidR="00BC1D0E" w:rsidRPr="00BC1D0E" w:rsidRDefault="00BC1D0E" w:rsidP="006D2A8C">
            <w:r w:rsidRPr="00BC1D0E">
              <w:rPr>
                <w:noProof/>
              </w:rPr>
              <mc:AlternateContent>
                <mc:Choice Requires="wps">
                  <w:drawing>
                    <wp:anchor distT="0" distB="0" distL="114300" distR="114300" simplePos="0" relativeHeight="251664384" behindDoc="0" locked="0" layoutInCell="1" allowOverlap="1" wp14:anchorId="206D8835" wp14:editId="034FC0DB">
                      <wp:simplePos x="0" y="0"/>
                      <wp:positionH relativeFrom="column">
                        <wp:posOffset>-5080</wp:posOffset>
                      </wp:positionH>
                      <wp:positionV relativeFrom="paragraph">
                        <wp:posOffset>162230</wp:posOffset>
                      </wp:positionV>
                      <wp:extent cx="727710" cy="406400"/>
                      <wp:effectExtent l="0" t="12700" r="21590" b="25400"/>
                      <wp:wrapNone/>
                      <wp:docPr id="7" name="Right Arrow 7"/>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CEBE75" id="Right Arrow 7" o:spid="_x0000_s1026" type="#_x0000_t13" style="position:absolute;margin-left:-.4pt;margin-top:12.75pt;width:57.3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2ausa4AAA&#13;&#10;AAwBAAAPAAAAAAAAAAAAAAAAANQEAABkcnMvZG93bnJldi54bWxQSwUGAAAAAAQABADzAAAA4QUA&#13;&#10;AAAA&#13;&#10;" adj="15569" fillcolor="#0d5435" strokecolor="#1f3763 [1604]" strokeweight="1pt"/>
                  </w:pict>
                </mc:Fallback>
              </mc:AlternateContent>
            </w:r>
          </w:p>
        </w:tc>
        <w:tc>
          <w:tcPr>
            <w:tcW w:w="4678" w:type="dxa"/>
            <w:shd w:val="clear" w:color="auto" w:fill="FFFFFF" w:themeFill="background1"/>
          </w:tcPr>
          <w:p w14:paraId="749BC7EF" w14:textId="77777777" w:rsidR="00BC1D0E" w:rsidRPr="00BC1D0E" w:rsidRDefault="00BC1D0E" w:rsidP="006D2A8C">
            <w:r w:rsidRPr="00BC1D0E">
              <w:t>Izlazi:</w:t>
            </w:r>
          </w:p>
        </w:tc>
      </w:tr>
      <w:tr w:rsidR="00BC1D0E" w:rsidRPr="00BC1D0E" w14:paraId="5D833205" w14:textId="77777777" w:rsidTr="00BC1D0E">
        <w:tc>
          <w:tcPr>
            <w:tcW w:w="3114" w:type="dxa"/>
          </w:tcPr>
          <w:p w14:paraId="4399EF42"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037C97A3" w14:textId="77777777" w:rsidR="00BC1D0E" w:rsidRPr="00BC1D0E" w:rsidRDefault="00BC1D0E" w:rsidP="006D2A8C"/>
        </w:tc>
        <w:tc>
          <w:tcPr>
            <w:tcW w:w="4678" w:type="dxa"/>
          </w:tcPr>
          <w:p w14:paraId="5DD207D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0D22DA2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41" w:name="_Toc172452506"/>
      <w:bookmarkStart w:id="42" w:name="_Toc204081407"/>
      <w:bookmarkStart w:id="43" w:name="_Toc258508790"/>
      <w:bookmarkStart w:id="44" w:name="_Toc441658293"/>
      <w:bookmarkStart w:id="45" w:name="_Toc477873685"/>
      <w:r w:rsidRPr="00D15728">
        <w:lastRenderedPageBreak/>
        <w:t>Filtriranje</w:t>
      </w:r>
      <w:r>
        <w:t xml:space="preserve"> imovine</w:t>
      </w:r>
      <w:bookmarkEnd w:id="41"/>
      <w:bookmarkEnd w:id="42"/>
      <w:bookmarkEnd w:id="43"/>
      <w:bookmarkEnd w:id="44"/>
      <w:bookmarkEnd w:id="45"/>
    </w:p>
    <w:p w14:paraId="0D172EE9" w14:textId="77777777" w:rsidR="00BC1D0E" w:rsidRPr="0035543F" w:rsidRDefault="00BC1D0E" w:rsidP="00BC1D0E">
      <w:r w:rsidRPr="0035543F">
        <w:t xml:space="preserve">Za parametre imovine – povjerljivost, cjelovitost i raspoloživost, određuje se </w:t>
      </w:r>
      <w:r w:rsidRPr="0035543F">
        <w:rPr>
          <w:b/>
        </w:rPr>
        <w:t>maksimalna vrijednost</w:t>
      </w:r>
      <w:r w:rsidRPr="0035543F">
        <w:t xml:space="preserve"> koja je jednaka najvećoj ocjeni parametara za pojedinu informacijsku imovinu. Primjerice, ako neka imovina ima slijedeće ocjene za parametre: povjerljivost = visoka, cjelovitost = niska, raspoloživost = srednja, tada je maksimalna vrijednost imovine = visoka.</w:t>
      </w:r>
    </w:p>
    <w:p w14:paraId="4D6F4AFB" w14:textId="77777777" w:rsidR="00BC1D0E" w:rsidRPr="0035543F" w:rsidRDefault="00BC1D0E" w:rsidP="00BC1D0E">
      <w:r w:rsidRPr="0035543F">
        <w:t xml:space="preserve">Daljnja procjena rizika ograničava se isključivo na onu imovinu koja je u procesu identifikacije i vrednovanja procijenjena kao imovina maksimalne vrijednosti </w:t>
      </w:r>
      <w:r w:rsidRPr="0035543F">
        <w:rPr>
          <w:b/>
        </w:rPr>
        <w:t xml:space="preserve">visoko ili </w:t>
      </w:r>
      <w:r>
        <w:rPr>
          <w:b/>
        </w:rPr>
        <w:t>ekstremno</w:t>
      </w:r>
      <w:r w:rsidRPr="0035543F">
        <w:t>. Filtriranjem imovine koja je procijenjena kao imovina niže vrijednosti, znatno se pojednostavljuje proces procjene rizika, a istovremeno ne ugrožava izvođenje poslovnih procesa.</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75C9D1FC" w14:textId="77777777" w:rsidTr="00BC1D0E">
        <w:tc>
          <w:tcPr>
            <w:tcW w:w="3114" w:type="dxa"/>
            <w:shd w:val="clear" w:color="auto" w:fill="FFFFFF" w:themeFill="background1"/>
          </w:tcPr>
          <w:p w14:paraId="419C4AB6" w14:textId="77777777" w:rsidR="00BC1D0E" w:rsidRPr="00BC1D0E" w:rsidRDefault="00BC1D0E" w:rsidP="006D2A8C">
            <w:r w:rsidRPr="00BC1D0E">
              <w:t>Ulazi:</w:t>
            </w:r>
          </w:p>
        </w:tc>
        <w:tc>
          <w:tcPr>
            <w:tcW w:w="1276" w:type="dxa"/>
            <w:shd w:val="clear" w:color="auto" w:fill="FFFFFF" w:themeFill="background1"/>
          </w:tcPr>
          <w:p w14:paraId="23EB058E" w14:textId="77777777" w:rsidR="00BC1D0E" w:rsidRPr="00BC1D0E" w:rsidRDefault="00BC1D0E" w:rsidP="006D2A8C">
            <w:r w:rsidRPr="00BC1D0E">
              <w:rPr>
                <w:noProof/>
              </w:rPr>
              <mc:AlternateContent>
                <mc:Choice Requires="wps">
                  <w:drawing>
                    <wp:anchor distT="0" distB="0" distL="114300" distR="114300" simplePos="0" relativeHeight="251666432" behindDoc="0" locked="0" layoutInCell="1" allowOverlap="1" wp14:anchorId="523C3BFF" wp14:editId="0E47E4F0">
                      <wp:simplePos x="0" y="0"/>
                      <wp:positionH relativeFrom="column">
                        <wp:posOffset>-5080</wp:posOffset>
                      </wp:positionH>
                      <wp:positionV relativeFrom="paragraph">
                        <wp:posOffset>169850</wp:posOffset>
                      </wp:positionV>
                      <wp:extent cx="727710" cy="406400"/>
                      <wp:effectExtent l="0" t="12700" r="21590" b="25400"/>
                      <wp:wrapNone/>
                      <wp:docPr id="8" name="Right Arrow 8"/>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1C93D5" id="Right Arrow 8" o:spid="_x0000_s1026" type="#_x0000_t13" style="position:absolute;margin-left:-.4pt;margin-top:13.35pt;width:57.3pt;height: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Cmksii4AAA&#13;&#10;AAwBAAAPAAAAAAAAAAAAAAAAANQEAABkcnMvZG93bnJldi54bWxQSwUGAAAAAAQABADzAAAA4QUA&#13;&#10;AAAA&#13;&#10;" adj="15569" fillcolor="#0d5435" strokecolor="#1f3763 [1604]" strokeweight="1pt"/>
                  </w:pict>
                </mc:Fallback>
              </mc:AlternateContent>
            </w:r>
          </w:p>
        </w:tc>
        <w:tc>
          <w:tcPr>
            <w:tcW w:w="4678" w:type="dxa"/>
            <w:shd w:val="clear" w:color="auto" w:fill="FFFFFF" w:themeFill="background1"/>
          </w:tcPr>
          <w:p w14:paraId="0A40DF79" w14:textId="77777777" w:rsidR="00BC1D0E" w:rsidRPr="00BC1D0E" w:rsidRDefault="00BC1D0E" w:rsidP="006D2A8C">
            <w:r w:rsidRPr="00BC1D0E">
              <w:t>Izlazi:</w:t>
            </w:r>
          </w:p>
        </w:tc>
      </w:tr>
      <w:tr w:rsidR="00BC1D0E" w:rsidRPr="00BC1D0E" w14:paraId="738A50BB" w14:textId="77777777" w:rsidTr="00BC1D0E">
        <w:tc>
          <w:tcPr>
            <w:tcW w:w="3114" w:type="dxa"/>
          </w:tcPr>
          <w:p w14:paraId="5A89B71E"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7042DC6D" w14:textId="77777777" w:rsidR="00BC1D0E" w:rsidRPr="00BC1D0E" w:rsidRDefault="00BC1D0E" w:rsidP="006D2A8C"/>
        </w:tc>
        <w:tc>
          <w:tcPr>
            <w:tcW w:w="4678" w:type="dxa"/>
          </w:tcPr>
          <w:p w14:paraId="500F3C5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1C481D8E"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46" w:name="_Toc441658294"/>
      <w:bookmarkStart w:id="47" w:name="_Toc190579204"/>
      <w:bookmarkStart w:id="48" w:name="_Toc242259720"/>
      <w:bookmarkStart w:id="49" w:name="_Toc258508791"/>
      <w:bookmarkStart w:id="50" w:name="_Toc441658295"/>
      <w:bookmarkStart w:id="51" w:name="_Toc477873686"/>
      <w:bookmarkEnd w:id="46"/>
      <w:r w:rsidRPr="00D15728">
        <w:t>Procjena</w:t>
      </w:r>
      <w:r>
        <w:t xml:space="preserve"> </w:t>
      </w:r>
      <w:r w:rsidRPr="00EE131D">
        <w:t>rizika</w:t>
      </w:r>
      <w:bookmarkEnd w:id="47"/>
      <w:bookmarkEnd w:id="48"/>
      <w:bookmarkEnd w:id="49"/>
      <w:bookmarkEnd w:id="50"/>
      <w:bookmarkEnd w:id="51"/>
    </w:p>
    <w:p w14:paraId="15A2A1BC" w14:textId="77777777" w:rsidR="00BC1D0E" w:rsidRPr="0035543F" w:rsidRDefault="00BC1D0E" w:rsidP="00BC1D0E">
      <w:r w:rsidRPr="0035543F">
        <w:t>Nakon stvaranja popisa kritične informacijske imovine u fazi identifikacije i vrednovanja informacijske imovine kreće se u fazu procjene rizika.</w:t>
      </w:r>
    </w:p>
    <w:p w14:paraId="1B237846" w14:textId="77777777" w:rsidR="00BC1D0E" w:rsidRPr="0035543F" w:rsidRDefault="00BC1D0E" w:rsidP="00BC1D0E">
      <w:r w:rsidRPr="0035543F">
        <w:t>Faza procjene rizika sastoji se od postupka identificiranja primjenjivih prijetnji i ranjivosti, izrade kataloga rizika, određivanja vjerojatnosti dotičnih prijetnji, prisutnosti  dotičnih ranjivosti te izračuna rizika (analize rizika) te postupka usporedbe prepoznatog rizika sa unaprijed određenim kriterijem za procjenu rizika (vrednovanje rizika).</w:t>
      </w:r>
    </w:p>
    <w:p w14:paraId="3AC9DA24" w14:textId="77777777" w:rsidR="00BC1D0E" w:rsidRDefault="00BC1D0E" w:rsidP="00BC1D0E">
      <w:r w:rsidRPr="0035543F">
        <w:t xml:space="preserve">Procjenu rizika radi tim za procjenu rizika, uz pomoć svih strana navedenih u poglavlju </w:t>
      </w:r>
      <w:r w:rsidRPr="0035543F">
        <w:rPr>
          <w:b/>
        </w:rPr>
        <w:t>Odgovornosti za provedbu</w:t>
      </w:r>
      <w:r w:rsidRPr="0035543F">
        <w:t xml:space="preserve">. </w:t>
      </w:r>
    </w:p>
    <w:p w14:paraId="6CC26035"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52" w:name="_Toc242259721"/>
      <w:bookmarkStart w:id="53" w:name="_Toc258508792"/>
      <w:bookmarkStart w:id="54" w:name="_Toc441658296"/>
      <w:bookmarkStart w:id="55" w:name="_Toc477873687"/>
      <w:r>
        <w:t xml:space="preserve">Identifikacija </w:t>
      </w:r>
      <w:r w:rsidRPr="00D15728">
        <w:t>primjenjivih</w:t>
      </w:r>
      <w:r>
        <w:t xml:space="preserve"> prijetnji, ranjivosti i priprema kataloga rizika</w:t>
      </w:r>
      <w:bookmarkEnd w:id="52"/>
      <w:bookmarkEnd w:id="53"/>
      <w:bookmarkEnd w:id="54"/>
      <w:bookmarkEnd w:id="55"/>
    </w:p>
    <w:p w14:paraId="77F1B5E1" w14:textId="77777777" w:rsidR="00BC1D0E" w:rsidRPr="0035543F" w:rsidRDefault="00BC1D0E" w:rsidP="00BC1D0E">
      <w:r w:rsidRPr="0035543F">
        <w:t xml:space="preserve">Na temelju popisa obilježja informacijskog sustava tim za procjenu rizika  identificirat će ostvarive prijetnje i primjenjive ranjivosti na razmatrana obilježja. </w:t>
      </w:r>
    </w:p>
    <w:p w14:paraId="0EDB76D9" w14:textId="77777777" w:rsidR="00BC1D0E" w:rsidRPr="0035543F" w:rsidRDefault="00BC1D0E" w:rsidP="00BC1D0E">
      <w:r w:rsidRPr="0035543F">
        <w:t xml:space="preserve">Na temelju identificiranih prijetnji i ranjivosti izrađuje se sistematični katalog rizika potreban za provedbu koraka procjene. </w:t>
      </w:r>
    </w:p>
    <w:p w14:paraId="146B0AEC" w14:textId="77777777" w:rsidR="00BC1D0E" w:rsidRPr="00BC1D0E" w:rsidRDefault="00BC1D0E" w:rsidP="00BC1D0E">
      <w:r w:rsidRPr="0035543F">
        <w:t xml:space="preserve">Kao izvor informacija za katalog rizika predviđeno je korištenje više izvora, ovisno o dostupnosti. </w:t>
      </w:r>
      <w:r w:rsidRPr="00BC1D0E">
        <w:t>Preporučeni izvori su:</w:t>
      </w:r>
    </w:p>
    <w:p w14:paraId="698EBA07" w14:textId="77777777" w:rsidR="00BC1D0E" w:rsidRPr="00BC1D0E" w:rsidRDefault="00BC1D0E" w:rsidP="00E16604">
      <w:pPr>
        <w:pStyle w:val="ListParagraph"/>
        <w:numPr>
          <w:ilvl w:val="0"/>
          <w:numId w:val="11"/>
        </w:numPr>
        <w:tabs>
          <w:tab w:val="left" w:pos="142"/>
        </w:tabs>
      </w:pPr>
      <w:r w:rsidRPr="00BC1D0E">
        <w:t>nalazi provedenih revizija informacijskog sustava,</w:t>
      </w:r>
    </w:p>
    <w:p w14:paraId="23838486" w14:textId="77777777" w:rsidR="00BC1D0E" w:rsidRPr="00BC1D0E" w:rsidRDefault="00BC1D0E" w:rsidP="00E16604">
      <w:pPr>
        <w:pStyle w:val="ListParagraph"/>
        <w:numPr>
          <w:ilvl w:val="0"/>
          <w:numId w:val="11"/>
        </w:numPr>
        <w:tabs>
          <w:tab w:val="left" w:pos="142"/>
        </w:tabs>
      </w:pPr>
      <w:r w:rsidRPr="00BC1D0E">
        <w:t>analiza prethodnih sigurnosnih incidenata u Banci,</w:t>
      </w:r>
    </w:p>
    <w:p w14:paraId="077FC454" w14:textId="77777777" w:rsidR="00BC1D0E" w:rsidRPr="00BC1D0E" w:rsidRDefault="00BC1D0E" w:rsidP="00E16604">
      <w:pPr>
        <w:pStyle w:val="ListParagraph"/>
        <w:numPr>
          <w:ilvl w:val="0"/>
          <w:numId w:val="11"/>
        </w:numPr>
        <w:tabs>
          <w:tab w:val="left" w:pos="142"/>
        </w:tabs>
      </w:pPr>
      <w:r w:rsidRPr="00BC1D0E">
        <w:t>analiza izvještaja iz raznih alata za provjeru ranjivosti i provedena penetracijska testiranja,</w:t>
      </w:r>
    </w:p>
    <w:p w14:paraId="4B9B6E1B" w14:textId="77777777" w:rsidR="00BC1D0E" w:rsidRPr="00BC1D0E" w:rsidRDefault="00BC1D0E" w:rsidP="00E16604">
      <w:pPr>
        <w:pStyle w:val="ListParagraph"/>
        <w:numPr>
          <w:ilvl w:val="0"/>
          <w:numId w:val="11"/>
        </w:numPr>
        <w:tabs>
          <w:tab w:val="left" w:pos="142"/>
        </w:tabs>
      </w:pPr>
      <w:r w:rsidRPr="00BC1D0E">
        <w:t>svjetske statistike i katalozi prijetnji i ranjivosti (npr. PWC, Gartner, Ernst &amp; Young i CERT),</w:t>
      </w:r>
    </w:p>
    <w:p w14:paraId="24DBE65D" w14:textId="77777777" w:rsidR="00BC1D0E" w:rsidRPr="00BC1D0E" w:rsidRDefault="00BC1D0E" w:rsidP="00E16604">
      <w:pPr>
        <w:pStyle w:val="ListParagraph"/>
        <w:numPr>
          <w:ilvl w:val="0"/>
          <w:numId w:val="11"/>
        </w:numPr>
        <w:tabs>
          <w:tab w:val="left" w:pos="142"/>
        </w:tabs>
      </w:pPr>
      <w:r w:rsidRPr="00BC1D0E">
        <w:t>prethodna iskustva.</w:t>
      </w:r>
    </w:p>
    <w:p w14:paraId="23214E7C" w14:textId="77777777" w:rsidR="00BC1D0E" w:rsidRDefault="00BC1D0E" w:rsidP="00BC1D0E">
      <w:r w:rsidRPr="0035543F">
        <w:t>Na temelju kataloga rizika izrađuje se Obrazac za vrednovanje rizika</w:t>
      </w:r>
      <w:r>
        <w:t>.</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823"/>
        <w:gridCol w:w="1417"/>
        <w:gridCol w:w="3827"/>
      </w:tblGrid>
      <w:tr w:rsidR="00BC1D0E" w:rsidRPr="00BC1D0E" w14:paraId="54279574" w14:textId="77777777" w:rsidTr="00BC1D0E">
        <w:tc>
          <w:tcPr>
            <w:tcW w:w="3823" w:type="dxa"/>
            <w:shd w:val="clear" w:color="auto" w:fill="FFFFFF" w:themeFill="background1"/>
          </w:tcPr>
          <w:p w14:paraId="4FCCB693" w14:textId="77777777" w:rsidR="00BC1D0E" w:rsidRPr="00BC1D0E" w:rsidRDefault="00BC1D0E" w:rsidP="006D2A8C">
            <w:r w:rsidRPr="00BC1D0E">
              <w:t>Ulazi:</w:t>
            </w:r>
          </w:p>
        </w:tc>
        <w:tc>
          <w:tcPr>
            <w:tcW w:w="1417" w:type="dxa"/>
            <w:shd w:val="clear" w:color="auto" w:fill="FFFFFF" w:themeFill="background1"/>
          </w:tcPr>
          <w:p w14:paraId="7B8502D6" w14:textId="77777777" w:rsidR="00BC1D0E" w:rsidRPr="00BC1D0E" w:rsidRDefault="00BC1D0E" w:rsidP="006D2A8C">
            <w:r w:rsidRPr="00BC1D0E">
              <w:rPr>
                <w:noProof/>
              </w:rPr>
              <mc:AlternateContent>
                <mc:Choice Requires="wps">
                  <w:drawing>
                    <wp:anchor distT="0" distB="0" distL="114300" distR="114300" simplePos="0" relativeHeight="251668480" behindDoc="0" locked="0" layoutInCell="1" allowOverlap="1" wp14:anchorId="1DBA4A72" wp14:editId="1A7455D4">
                      <wp:simplePos x="0" y="0"/>
                      <wp:positionH relativeFrom="column">
                        <wp:posOffset>-5080</wp:posOffset>
                      </wp:positionH>
                      <wp:positionV relativeFrom="paragraph">
                        <wp:posOffset>207645</wp:posOffset>
                      </wp:positionV>
                      <wp:extent cx="727710" cy="406400"/>
                      <wp:effectExtent l="0" t="12700" r="21590" b="25400"/>
                      <wp:wrapNone/>
                      <wp:docPr id="9" name="Right Arrow 9"/>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CBC4EA" id="Right Arrow 9" o:spid="_x0000_s1026" type="#_x0000_t13" style="position:absolute;margin-left:-.4pt;margin-top:16.35pt;width:57.3pt;height: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upDDF4AAA&#13;&#10;AAwBAAAPAAAAAAAAAAAAAAAAANQEAABkcnMvZG93bnJldi54bWxQSwUGAAAAAAQABADzAAAA4QUA&#13;&#10;AAAA&#13;&#10;" adj="15569" fillcolor="#0d5435" strokecolor="#1f3763 [1604]" strokeweight="1pt"/>
                  </w:pict>
                </mc:Fallback>
              </mc:AlternateContent>
            </w:r>
          </w:p>
        </w:tc>
        <w:tc>
          <w:tcPr>
            <w:tcW w:w="3827" w:type="dxa"/>
            <w:shd w:val="clear" w:color="auto" w:fill="FFFFFF" w:themeFill="background1"/>
          </w:tcPr>
          <w:p w14:paraId="38CAB8FD" w14:textId="77777777" w:rsidR="00BC1D0E" w:rsidRPr="00BC1D0E" w:rsidRDefault="00BC1D0E" w:rsidP="006D2A8C">
            <w:r w:rsidRPr="00BC1D0E">
              <w:t>Izlazi:</w:t>
            </w:r>
          </w:p>
        </w:tc>
      </w:tr>
      <w:tr w:rsidR="00BC1D0E" w:rsidRPr="00BC1D0E" w14:paraId="1A2E312C" w14:textId="77777777" w:rsidTr="00BC1D0E">
        <w:tc>
          <w:tcPr>
            <w:tcW w:w="3823" w:type="dxa"/>
          </w:tcPr>
          <w:p w14:paraId="0D9D714A"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6C0FD7CE" w14:textId="77777777" w:rsidR="00BC1D0E" w:rsidRPr="00BC1D0E" w:rsidRDefault="00BC1D0E" w:rsidP="00E16604">
            <w:pPr>
              <w:pStyle w:val="ListParagraph"/>
              <w:numPr>
                <w:ilvl w:val="0"/>
                <w:numId w:val="12"/>
              </w:numPr>
              <w:tabs>
                <w:tab w:val="left" w:pos="142"/>
              </w:tabs>
              <w:jc w:val="left"/>
            </w:pPr>
            <w:r w:rsidRPr="00BC1D0E">
              <w:t>Katalog rizika</w:t>
            </w:r>
          </w:p>
        </w:tc>
        <w:tc>
          <w:tcPr>
            <w:tcW w:w="1417" w:type="dxa"/>
          </w:tcPr>
          <w:p w14:paraId="36D6F552" w14:textId="77777777" w:rsidR="00BC1D0E" w:rsidRPr="00BC1D0E" w:rsidRDefault="00BC1D0E" w:rsidP="006D2A8C"/>
        </w:tc>
        <w:tc>
          <w:tcPr>
            <w:tcW w:w="3827" w:type="dxa"/>
          </w:tcPr>
          <w:p w14:paraId="6F8E0B73" w14:textId="77777777" w:rsidR="00BC1D0E" w:rsidRPr="00BC1D0E" w:rsidRDefault="00BC1D0E" w:rsidP="00E16604">
            <w:pPr>
              <w:pStyle w:val="ListParagraph"/>
              <w:numPr>
                <w:ilvl w:val="0"/>
                <w:numId w:val="12"/>
              </w:numPr>
              <w:tabs>
                <w:tab w:val="left" w:pos="142"/>
              </w:tabs>
              <w:jc w:val="left"/>
            </w:pPr>
            <w:r w:rsidRPr="00BC1D0E">
              <w:t>Ažurirani Katalog rizika</w:t>
            </w:r>
          </w:p>
          <w:p w14:paraId="375A319D" w14:textId="77777777" w:rsidR="00BC1D0E" w:rsidRPr="00BC1D0E" w:rsidRDefault="00BC1D0E" w:rsidP="006D2A8C"/>
        </w:tc>
      </w:tr>
    </w:tbl>
    <w:p w14:paraId="7921365A" w14:textId="77777777" w:rsidR="00BC1D0E" w:rsidRDefault="00BC1D0E" w:rsidP="00BC1D0E"/>
    <w:p w14:paraId="0A2F24F1"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56" w:name="_Toc242259722"/>
      <w:bookmarkStart w:id="57" w:name="_Toc258508793"/>
      <w:bookmarkStart w:id="58" w:name="_Toc441658297"/>
      <w:bookmarkStart w:id="59" w:name="_Toc477873688"/>
      <w:r w:rsidRPr="00D15728">
        <w:lastRenderedPageBreak/>
        <w:t>Vrednovanje</w:t>
      </w:r>
      <w:r w:rsidRPr="00004372">
        <w:t xml:space="preserve"> i izračun rizika informacijske sigurnosti</w:t>
      </w:r>
      <w:bookmarkEnd w:id="56"/>
      <w:bookmarkEnd w:id="57"/>
      <w:bookmarkEnd w:id="58"/>
      <w:bookmarkEnd w:id="59"/>
    </w:p>
    <w:p w14:paraId="6424C6AD" w14:textId="14FB2D92" w:rsidR="00E16604" w:rsidRDefault="00BC1D0E" w:rsidP="004A405C">
      <w:r w:rsidRPr="0035543F">
        <w:t>Koristeći obrazac na sastancima ili radionicama sa djelatnicima odgovornima za kritičnu informacijsku imovinu, odnosno za pojedine rizike, članovi tima za procjenu rizika razmatraju vjerojatnost ostvarivanja i utjecaj identificiranih prijetnji s obzirom na prisutne ranjivosti.</w:t>
      </w:r>
    </w:p>
    <w:p w14:paraId="71E6D727" w14:textId="77777777" w:rsidR="00BC1D0E" w:rsidRPr="0035543F" w:rsidRDefault="00BC1D0E" w:rsidP="00BC1D0E">
      <w:r w:rsidRPr="0035543F">
        <w:t xml:space="preserve">Vjerojatnosti se izražavaju prema Tablici </w:t>
      </w:r>
      <w:r>
        <w:t>2.</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57"/>
        <w:gridCol w:w="1577"/>
        <w:gridCol w:w="5381"/>
      </w:tblGrid>
      <w:tr w:rsidR="00BC1D0E" w:rsidRPr="00BC1D0E" w14:paraId="23F0740E" w14:textId="77777777" w:rsidTr="006D2A8C">
        <w:trPr>
          <w:cantSplit/>
          <w:tblHeader/>
          <w:jc w:val="center"/>
        </w:trPr>
        <w:tc>
          <w:tcPr>
            <w:tcW w:w="1008" w:type="pct"/>
            <w:tcBorders>
              <w:top w:val="single" w:sz="12" w:space="0" w:color="auto"/>
              <w:bottom w:val="single" w:sz="12" w:space="0" w:color="auto"/>
              <w:right w:val="single" w:sz="6" w:space="0" w:color="auto"/>
            </w:tcBorders>
            <w:shd w:val="clear" w:color="auto" w:fill="E0E0E0"/>
            <w:vAlign w:val="center"/>
          </w:tcPr>
          <w:p w14:paraId="3FD8DA1F" w14:textId="77777777" w:rsidR="00BC1D0E" w:rsidRPr="00BC1D0E" w:rsidRDefault="00BC1D0E" w:rsidP="004A405C">
            <w:pPr>
              <w:pStyle w:val="Paragraph"/>
              <w:spacing w:after="0"/>
              <w:ind w:left="19" w:hanging="19"/>
              <w:jc w:val="center"/>
              <w:rPr>
                <w:rFonts w:ascii="Cambria" w:hAnsi="Cambria"/>
                <w:sz w:val="20"/>
              </w:rPr>
            </w:pPr>
            <w:r w:rsidRPr="00BC1D0E">
              <w:rPr>
                <w:rFonts w:ascii="Cambria" w:hAnsi="Cambria"/>
                <w:sz w:val="20"/>
              </w:rPr>
              <w:t>Numerička vrijednost</w:t>
            </w:r>
          </w:p>
        </w:tc>
        <w:tc>
          <w:tcPr>
            <w:tcW w:w="905" w:type="pct"/>
            <w:tcBorders>
              <w:top w:val="single" w:sz="12" w:space="0" w:color="auto"/>
              <w:left w:val="single" w:sz="6" w:space="0" w:color="auto"/>
              <w:bottom w:val="single" w:sz="12" w:space="0" w:color="auto"/>
              <w:right w:val="single" w:sz="6" w:space="0" w:color="auto"/>
            </w:tcBorders>
            <w:shd w:val="clear" w:color="auto" w:fill="E0E0E0"/>
            <w:vAlign w:val="center"/>
          </w:tcPr>
          <w:p w14:paraId="7D34A0EA" w14:textId="77777777" w:rsidR="00BC1D0E" w:rsidRPr="00BC1D0E" w:rsidRDefault="00BC1D0E" w:rsidP="004A405C">
            <w:pPr>
              <w:pStyle w:val="Paragraph"/>
              <w:spacing w:after="0"/>
              <w:ind w:left="0"/>
              <w:jc w:val="center"/>
              <w:rPr>
                <w:rFonts w:ascii="Cambria" w:hAnsi="Cambria"/>
                <w:sz w:val="20"/>
              </w:rPr>
            </w:pPr>
            <w:r w:rsidRPr="00BC1D0E">
              <w:rPr>
                <w:rFonts w:ascii="Cambria" w:hAnsi="Cambria"/>
                <w:sz w:val="20"/>
              </w:rPr>
              <w:t>Vjerojatnost</w:t>
            </w:r>
          </w:p>
        </w:tc>
        <w:tc>
          <w:tcPr>
            <w:tcW w:w="3087" w:type="pct"/>
            <w:tcBorders>
              <w:top w:val="single" w:sz="12" w:space="0" w:color="auto"/>
              <w:left w:val="single" w:sz="6" w:space="0" w:color="auto"/>
              <w:bottom w:val="single" w:sz="12" w:space="0" w:color="auto"/>
            </w:tcBorders>
            <w:shd w:val="clear" w:color="auto" w:fill="E0E0E0"/>
            <w:vAlign w:val="center"/>
          </w:tcPr>
          <w:p w14:paraId="670E200D" w14:textId="77777777" w:rsidR="00BC1D0E" w:rsidRPr="00BC1D0E" w:rsidRDefault="00BC1D0E" w:rsidP="004A405C">
            <w:pPr>
              <w:pStyle w:val="Paragraph"/>
              <w:spacing w:after="0"/>
              <w:ind w:left="109"/>
              <w:rPr>
                <w:rFonts w:ascii="Cambria" w:hAnsi="Cambria"/>
                <w:sz w:val="20"/>
              </w:rPr>
            </w:pPr>
            <w:r w:rsidRPr="00BC1D0E">
              <w:rPr>
                <w:rFonts w:ascii="Cambria" w:hAnsi="Cambria"/>
                <w:sz w:val="20"/>
              </w:rPr>
              <w:t>Opis</w:t>
            </w:r>
          </w:p>
        </w:tc>
      </w:tr>
      <w:tr w:rsidR="00BC1D0E" w:rsidRPr="00BC1D0E" w14:paraId="241F0129" w14:textId="77777777" w:rsidTr="006D2A8C">
        <w:trPr>
          <w:cantSplit/>
          <w:trHeight w:val="484"/>
          <w:jc w:val="center"/>
        </w:trPr>
        <w:tc>
          <w:tcPr>
            <w:tcW w:w="1008" w:type="pct"/>
            <w:shd w:val="clear" w:color="auto" w:fill="92D050"/>
            <w:vAlign w:val="center"/>
          </w:tcPr>
          <w:p w14:paraId="5AA1150D" w14:textId="77777777" w:rsidR="00BC1D0E" w:rsidRPr="00BC1D0E" w:rsidRDefault="00BC1D0E" w:rsidP="004A405C">
            <w:pPr>
              <w:pStyle w:val="Paragraph"/>
              <w:spacing w:after="0"/>
              <w:ind w:left="19" w:hanging="19"/>
              <w:jc w:val="center"/>
              <w:rPr>
                <w:rFonts w:ascii="Cambria" w:hAnsi="Cambria"/>
                <w:sz w:val="20"/>
              </w:rPr>
            </w:pPr>
            <w:r w:rsidRPr="00BC1D0E">
              <w:rPr>
                <w:rFonts w:ascii="Cambria" w:hAnsi="Cambria"/>
                <w:sz w:val="20"/>
              </w:rPr>
              <w:t>1</w:t>
            </w:r>
          </w:p>
        </w:tc>
        <w:tc>
          <w:tcPr>
            <w:tcW w:w="905" w:type="pct"/>
            <w:vAlign w:val="center"/>
          </w:tcPr>
          <w:p w14:paraId="70B17700" w14:textId="77777777" w:rsidR="00BC1D0E" w:rsidRPr="00BC1D0E" w:rsidRDefault="00BC1D0E" w:rsidP="004A405C">
            <w:pPr>
              <w:pStyle w:val="Paragraph"/>
              <w:spacing w:after="0"/>
              <w:ind w:left="0"/>
              <w:jc w:val="center"/>
              <w:rPr>
                <w:rFonts w:ascii="Cambria" w:hAnsi="Cambria"/>
                <w:sz w:val="20"/>
              </w:rPr>
            </w:pPr>
            <w:r w:rsidRPr="00BC1D0E">
              <w:rPr>
                <w:rFonts w:ascii="Cambria" w:hAnsi="Cambria"/>
                <w:sz w:val="20"/>
              </w:rPr>
              <w:t>Niska</w:t>
            </w:r>
          </w:p>
        </w:tc>
        <w:tc>
          <w:tcPr>
            <w:tcW w:w="3087" w:type="pct"/>
            <w:vAlign w:val="center"/>
          </w:tcPr>
          <w:p w14:paraId="632F2EB0" w14:textId="77777777" w:rsidR="00BC1D0E" w:rsidRPr="00BC1D0E" w:rsidRDefault="00BC1D0E" w:rsidP="004A405C">
            <w:pPr>
              <w:pStyle w:val="Paragraph"/>
              <w:spacing w:after="0"/>
              <w:ind w:left="109"/>
              <w:rPr>
                <w:rFonts w:ascii="Cambria" w:hAnsi="Cambria"/>
                <w:sz w:val="20"/>
              </w:rPr>
            </w:pPr>
            <w:r w:rsidRPr="00BC1D0E">
              <w:rPr>
                <w:rFonts w:ascii="Cambria" w:hAnsi="Cambria"/>
                <w:sz w:val="20"/>
              </w:rPr>
              <w:t>Rizik je manje vjerojatan zbog implementiranih sigurnosnih mjera</w:t>
            </w:r>
          </w:p>
        </w:tc>
      </w:tr>
      <w:tr w:rsidR="00BC1D0E" w:rsidRPr="00BC1D0E" w14:paraId="16324EC6" w14:textId="77777777" w:rsidTr="006D2A8C">
        <w:trPr>
          <w:cantSplit/>
          <w:trHeight w:val="553"/>
          <w:jc w:val="center"/>
        </w:trPr>
        <w:tc>
          <w:tcPr>
            <w:tcW w:w="1008" w:type="pct"/>
            <w:shd w:val="clear" w:color="auto" w:fill="FFFF00"/>
            <w:vAlign w:val="center"/>
          </w:tcPr>
          <w:p w14:paraId="547C58F6" w14:textId="77777777" w:rsidR="00BC1D0E" w:rsidRPr="00BC1D0E" w:rsidRDefault="00BC1D0E" w:rsidP="004A405C">
            <w:pPr>
              <w:pStyle w:val="Paragraph"/>
              <w:spacing w:after="0"/>
              <w:ind w:left="19" w:hanging="19"/>
              <w:jc w:val="center"/>
              <w:rPr>
                <w:rFonts w:ascii="Cambria" w:hAnsi="Cambria"/>
                <w:sz w:val="20"/>
              </w:rPr>
            </w:pPr>
            <w:r w:rsidRPr="00BC1D0E">
              <w:rPr>
                <w:rFonts w:ascii="Cambria" w:hAnsi="Cambria"/>
                <w:sz w:val="20"/>
              </w:rPr>
              <w:t>2</w:t>
            </w:r>
          </w:p>
        </w:tc>
        <w:tc>
          <w:tcPr>
            <w:tcW w:w="905" w:type="pct"/>
            <w:vAlign w:val="center"/>
          </w:tcPr>
          <w:p w14:paraId="416DB1C1" w14:textId="77777777" w:rsidR="00BC1D0E" w:rsidRPr="00BC1D0E" w:rsidRDefault="00BC1D0E" w:rsidP="004A405C">
            <w:pPr>
              <w:pStyle w:val="Paragraph"/>
              <w:spacing w:after="0"/>
              <w:ind w:left="0"/>
              <w:jc w:val="center"/>
              <w:rPr>
                <w:rFonts w:ascii="Cambria" w:hAnsi="Cambria"/>
                <w:sz w:val="20"/>
              </w:rPr>
            </w:pPr>
            <w:r w:rsidRPr="00BC1D0E">
              <w:rPr>
                <w:rFonts w:ascii="Cambria" w:hAnsi="Cambria"/>
                <w:sz w:val="20"/>
              </w:rPr>
              <w:t>Umjerena</w:t>
            </w:r>
          </w:p>
        </w:tc>
        <w:tc>
          <w:tcPr>
            <w:tcW w:w="3087" w:type="pct"/>
            <w:vAlign w:val="center"/>
          </w:tcPr>
          <w:p w14:paraId="28491188" w14:textId="77777777" w:rsidR="00BC1D0E" w:rsidRPr="00BC1D0E" w:rsidRDefault="00BC1D0E" w:rsidP="004A405C">
            <w:pPr>
              <w:pStyle w:val="Paragraph"/>
              <w:spacing w:after="0"/>
              <w:ind w:left="109"/>
              <w:rPr>
                <w:rFonts w:ascii="Cambria" w:hAnsi="Cambria"/>
                <w:sz w:val="20"/>
              </w:rPr>
            </w:pPr>
            <w:r w:rsidRPr="00BC1D0E">
              <w:rPr>
                <w:rFonts w:ascii="Cambria" w:hAnsi="Cambria"/>
                <w:sz w:val="20"/>
              </w:rPr>
              <w:t>Manjak sigurnosnih mjera čini ovaj rizik vrlo vjerojatnim, makar se još nikad nije manifestirao</w:t>
            </w:r>
          </w:p>
        </w:tc>
      </w:tr>
      <w:tr w:rsidR="00BC1D0E" w:rsidRPr="00BC1D0E" w14:paraId="492EB9AC" w14:textId="77777777" w:rsidTr="006D2A8C">
        <w:trPr>
          <w:cantSplit/>
          <w:trHeight w:val="505"/>
          <w:jc w:val="center"/>
        </w:trPr>
        <w:tc>
          <w:tcPr>
            <w:tcW w:w="1008" w:type="pct"/>
            <w:shd w:val="clear" w:color="auto" w:fill="E36C0A"/>
            <w:vAlign w:val="center"/>
          </w:tcPr>
          <w:p w14:paraId="2304B688" w14:textId="77777777" w:rsidR="00BC1D0E" w:rsidRPr="00BC1D0E" w:rsidRDefault="00BC1D0E" w:rsidP="004A405C">
            <w:pPr>
              <w:pStyle w:val="Paragraph"/>
              <w:spacing w:after="0"/>
              <w:ind w:left="19" w:hanging="19"/>
              <w:jc w:val="center"/>
              <w:rPr>
                <w:rFonts w:ascii="Cambria" w:hAnsi="Cambria"/>
                <w:sz w:val="20"/>
              </w:rPr>
            </w:pPr>
            <w:r w:rsidRPr="00BC1D0E">
              <w:rPr>
                <w:rFonts w:ascii="Cambria" w:hAnsi="Cambria"/>
                <w:sz w:val="20"/>
              </w:rPr>
              <w:t>3</w:t>
            </w:r>
          </w:p>
        </w:tc>
        <w:tc>
          <w:tcPr>
            <w:tcW w:w="905" w:type="pct"/>
            <w:vAlign w:val="center"/>
          </w:tcPr>
          <w:p w14:paraId="06DB4684" w14:textId="77777777" w:rsidR="00BC1D0E" w:rsidRPr="00BC1D0E" w:rsidRDefault="00BC1D0E" w:rsidP="004A405C">
            <w:pPr>
              <w:pStyle w:val="Paragraph"/>
              <w:spacing w:after="0"/>
              <w:ind w:left="0"/>
              <w:jc w:val="center"/>
              <w:rPr>
                <w:rFonts w:ascii="Cambria" w:hAnsi="Cambria"/>
                <w:sz w:val="20"/>
              </w:rPr>
            </w:pPr>
            <w:r w:rsidRPr="00BC1D0E">
              <w:rPr>
                <w:rFonts w:ascii="Cambria" w:hAnsi="Cambria"/>
                <w:sz w:val="20"/>
              </w:rPr>
              <w:t>Visoka</w:t>
            </w:r>
          </w:p>
        </w:tc>
        <w:tc>
          <w:tcPr>
            <w:tcW w:w="3087" w:type="pct"/>
            <w:vAlign w:val="center"/>
          </w:tcPr>
          <w:p w14:paraId="252CF7E4" w14:textId="77777777" w:rsidR="00BC1D0E" w:rsidRPr="00BC1D0E" w:rsidRDefault="00BC1D0E" w:rsidP="004A405C">
            <w:pPr>
              <w:pStyle w:val="Paragraph"/>
              <w:spacing w:after="0"/>
              <w:ind w:left="109"/>
              <w:rPr>
                <w:rFonts w:ascii="Cambria" w:hAnsi="Cambria"/>
                <w:sz w:val="20"/>
              </w:rPr>
            </w:pPr>
            <w:r w:rsidRPr="00BC1D0E">
              <w:rPr>
                <w:rFonts w:ascii="Cambria" w:hAnsi="Cambria"/>
                <w:sz w:val="20"/>
              </w:rPr>
              <w:t>Manjak sigurnosnih mjera je već rezultirao manifestacijom ovog rizika</w:t>
            </w:r>
          </w:p>
        </w:tc>
      </w:tr>
      <w:tr w:rsidR="00BC1D0E" w:rsidRPr="00BC1D0E" w14:paraId="6F3948C8" w14:textId="77777777" w:rsidTr="006D2A8C">
        <w:trPr>
          <w:cantSplit/>
          <w:trHeight w:val="515"/>
          <w:jc w:val="center"/>
        </w:trPr>
        <w:tc>
          <w:tcPr>
            <w:tcW w:w="1008" w:type="pct"/>
            <w:shd w:val="clear" w:color="auto" w:fill="FF0000"/>
            <w:vAlign w:val="center"/>
          </w:tcPr>
          <w:p w14:paraId="2095DF24" w14:textId="77777777" w:rsidR="00BC1D0E" w:rsidRPr="00BC1D0E" w:rsidRDefault="00BC1D0E" w:rsidP="004A405C">
            <w:pPr>
              <w:pStyle w:val="Paragraph"/>
              <w:spacing w:after="0"/>
              <w:ind w:left="19" w:hanging="19"/>
              <w:jc w:val="center"/>
              <w:rPr>
                <w:rFonts w:ascii="Cambria" w:hAnsi="Cambria"/>
                <w:sz w:val="20"/>
              </w:rPr>
            </w:pPr>
            <w:r w:rsidRPr="00BC1D0E">
              <w:rPr>
                <w:rFonts w:ascii="Cambria" w:hAnsi="Cambria"/>
                <w:sz w:val="20"/>
              </w:rPr>
              <w:t>4</w:t>
            </w:r>
          </w:p>
        </w:tc>
        <w:tc>
          <w:tcPr>
            <w:tcW w:w="905" w:type="pct"/>
            <w:vAlign w:val="center"/>
          </w:tcPr>
          <w:p w14:paraId="309E31E2" w14:textId="77777777" w:rsidR="00BC1D0E" w:rsidRPr="00BC1D0E" w:rsidRDefault="00BC1D0E" w:rsidP="004A405C">
            <w:pPr>
              <w:pStyle w:val="Paragraph"/>
              <w:spacing w:after="0"/>
              <w:ind w:left="0"/>
              <w:jc w:val="center"/>
              <w:rPr>
                <w:rFonts w:ascii="Cambria" w:hAnsi="Cambria"/>
                <w:sz w:val="20"/>
              </w:rPr>
            </w:pPr>
            <w:r w:rsidRPr="00BC1D0E">
              <w:rPr>
                <w:rFonts w:ascii="Cambria" w:hAnsi="Cambria"/>
                <w:sz w:val="20"/>
              </w:rPr>
              <w:t>Ekstremna</w:t>
            </w:r>
          </w:p>
        </w:tc>
        <w:tc>
          <w:tcPr>
            <w:tcW w:w="3087" w:type="pct"/>
            <w:vAlign w:val="center"/>
          </w:tcPr>
          <w:p w14:paraId="3FEC81B8" w14:textId="77777777" w:rsidR="00BC1D0E" w:rsidRPr="00BC1D0E" w:rsidRDefault="00BC1D0E" w:rsidP="004A405C">
            <w:pPr>
              <w:pStyle w:val="Paragraph"/>
              <w:spacing w:after="0"/>
              <w:ind w:left="109"/>
              <w:rPr>
                <w:rFonts w:ascii="Cambria" w:hAnsi="Cambria"/>
                <w:sz w:val="20"/>
              </w:rPr>
            </w:pPr>
            <w:r w:rsidRPr="00BC1D0E">
              <w:rPr>
                <w:rFonts w:ascii="Cambria" w:hAnsi="Cambria"/>
                <w:sz w:val="20"/>
              </w:rPr>
              <w:t>Ovaj rizik predstavlja kronični problem koji se kontinuirano pojavljuje</w:t>
            </w:r>
          </w:p>
        </w:tc>
      </w:tr>
    </w:tbl>
    <w:p w14:paraId="03AA11CD" w14:textId="348075DD" w:rsidR="00BC1D0E" w:rsidRPr="00E5334A" w:rsidRDefault="00E5334A" w:rsidP="00E5334A">
      <w:pPr>
        <w:pStyle w:val="Caption"/>
        <w:rPr>
          <w:b/>
          <w:szCs w:val="20"/>
        </w:rPr>
      </w:pPr>
      <w:r w:rsidRPr="00E5334A">
        <w:rPr>
          <w:szCs w:val="20"/>
        </w:rPr>
        <w:t xml:space="preserve">Tablica </w:t>
      </w:r>
      <w:r w:rsidRPr="00E5334A">
        <w:rPr>
          <w:szCs w:val="20"/>
        </w:rPr>
        <w:fldChar w:fldCharType="begin"/>
      </w:r>
      <w:r w:rsidRPr="00E5334A">
        <w:rPr>
          <w:szCs w:val="20"/>
        </w:rPr>
        <w:instrText xml:space="preserve"> SEQ Tablica \* ARABIC </w:instrText>
      </w:r>
      <w:r w:rsidRPr="00E5334A">
        <w:rPr>
          <w:szCs w:val="20"/>
        </w:rPr>
        <w:fldChar w:fldCharType="separate"/>
      </w:r>
      <w:r>
        <w:rPr>
          <w:noProof/>
          <w:szCs w:val="20"/>
        </w:rPr>
        <w:t>2</w:t>
      </w:r>
      <w:r w:rsidRPr="00E5334A">
        <w:rPr>
          <w:szCs w:val="20"/>
        </w:rPr>
        <w:fldChar w:fldCharType="end"/>
      </w:r>
      <w:r w:rsidRPr="00E5334A">
        <w:rPr>
          <w:szCs w:val="20"/>
        </w:rPr>
        <w:t>. Vjerojatnost ostvarivanja rizika</w:t>
      </w:r>
      <w:r w:rsidR="00BC1D0E" w:rsidRPr="00E5334A">
        <w:rPr>
          <w:b/>
          <w:szCs w:val="20"/>
        </w:rPr>
        <w:t>.</w:t>
      </w:r>
    </w:p>
    <w:p w14:paraId="2E79A3BD" w14:textId="77777777" w:rsidR="00BC1D0E" w:rsidRPr="0035543F" w:rsidRDefault="00BC1D0E" w:rsidP="00BC1D0E">
      <w:r w:rsidRPr="0035543F">
        <w:t xml:space="preserve">Utjecaji prijetnji se izražavaju prema tablici </w:t>
      </w:r>
      <w:r>
        <w:t>3.</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572"/>
        <w:gridCol w:w="5375"/>
      </w:tblGrid>
      <w:tr w:rsidR="00BC1D0E" w:rsidRPr="00BC1D0E" w14:paraId="187D1739" w14:textId="77777777" w:rsidTr="006D2A8C">
        <w:trPr>
          <w:cantSplit/>
          <w:tblHeader/>
          <w:jc w:val="center"/>
        </w:trPr>
        <w:tc>
          <w:tcPr>
            <w:tcW w:w="1014" w:type="pct"/>
            <w:tcBorders>
              <w:top w:val="single" w:sz="12" w:space="0" w:color="auto"/>
              <w:bottom w:val="single" w:sz="12" w:space="0" w:color="auto"/>
              <w:right w:val="single" w:sz="6" w:space="0" w:color="auto"/>
            </w:tcBorders>
            <w:shd w:val="clear" w:color="auto" w:fill="E0E0E0"/>
            <w:vAlign w:val="center"/>
          </w:tcPr>
          <w:p w14:paraId="0B8B6154" w14:textId="77777777" w:rsidR="00BC1D0E" w:rsidRPr="00BC1D0E" w:rsidRDefault="00BC1D0E" w:rsidP="004A405C">
            <w:pPr>
              <w:pStyle w:val="Paragraph"/>
              <w:spacing w:after="0"/>
              <w:ind w:left="161"/>
              <w:jc w:val="center"/>
              <w:rPr>
                <w:rFonts w:ascii="Cambria" w:hAnsi="Cambria"/>
                <w:sz w:val="20"/>
              </w:rPr>
            </w:pPr>
            <w:r w:rsidRPr="00BC1D0E">
              <w:rPr>
                <w:rFonts w:ascii="Cambria" w:hAnsi="Cambria"/>
                <w:sz w:val="20"/>
              </w:rPr>
              <w:t>Numerička vrijednost</w:t>
            </w:r>
          </w:p>
        </w:tc>
        <w:tc>
          <w:tcPr>
            <w:tcW w:w="902" w:type="pct"/>
            <w:tcBorders>
              <w:top w:val="single" w:sz="12" w:space="0" w:color="auto"/>
              <w:left w:val="single" w:sz="6" w:space="0" w:color="auto"/>
              <w:bottom w:val="single" w:sz="12" w:space="0" w:color="auto"/>
              <w:right w:val="single" w:sz="6" w:space="0" w:color="auto"/>
            </w:tcBorders>
            <w:shd w:val="clear" w:color="auto" w:fill="E0E0E0"/>
            <w:vAlign w:val="center"/>
          </w:tcPr>
          <w:p w14:paraId="7D219AEB" w14:textId="77777777" w:rsidR="00BC1D0E" w:rsidRPr="00BC1D0E" w:rsidRDefault="00BC1D0E" w:rsidP="004A405C">
            <w:pPr>
              <w:pStyle w:val="Paragraph"/>
              <w:spacing w:after="0"/>
              <w:ind w:left="98"/>
              <w:jc w:val="center"/>
              <w:rPr>
                <w:rFonts w:ascii="Cambria" w:hAnsi="Cambria"/>
                <w:sz w:val="20"/>
              </w:rPr>
            </w:pPr>
            <w:r w:rsidRPr="00BC1D0E">
              <w:rPr>
                <w:rFonts w:ascii="Cambria" w:hAnsi="Cambria"/>
                <w:sz w:val="20"/>
              </w:rPr>
              <w:t>Utjecaj</w:t>
            </w:r>
          </w:p>
        </w:tc>
        <w:tc>
          <w:tcPr>
            <w:tcW w:w="3084" w:type="pct"/>
            <w:tcBorders>
              <w:top w:val="single" w:sz="12" w:space="0" w:color="auto"/>
              <w:left w:val="single" w:sz="6" w:space="0" w:color="auto"/>
              <w:bottom w:val="single" w:sz="12" w:space="0" w:color="auto"/>
            </w:tcBorders>
            <w:shd w:val="clear" w:color="auto" w:fill="E0E0E0"/>
            <w:vAlign w:val="center"/>
          </w:tcPr>
          <w:p w14:paraId="0D412D8C" w14:textId="77777777" w:rsidR="00BC1D0E" w:rsidRPr="00BC1D0E" w:rsidRDefault="00BC1D0E" w:rsidP="004A405C">
            <w:pPr>
              <w:pStyle w:val="Paragraph"/>
              <w:spacing w:after="0"/>
              <w:ind w:left="104"/>
              <w:rPr>
                <w:rFonts w:ascii="Cambria" w:hAnsi="Cambria"/>
                <w:sz w:val="20"/>
              </w:rPr>
            </w:pPr>
            <w:r w:rsidRPr="00BC1D0E">
              <w:rPr>
                <w:rFonts w:ascii="Cambria" w:hAnsi="Cambria"/>
                <w:sz w:val="20"/>
              </w:rPr>
              <w:t>Opis</w:t>
            </w:r>
          </w:p>
        </w:tc>
      </w:tr>
      <w:tr w:rsidR="00BC1D0E" w:rsidRPr="00BC1D0E" w14:paraId="0F4D4024" w14:textId="77777777" w:rsidTr="006D2A8C">
        <w:trPr>
          <w:cantSplit/>
          <w:trHeight w:val="484"/>
          <w:jc w:val="center"/>
        </w:trPr>
        <w:tc>
          <w:tcPr>
            <w:tcW w:w="1014" w:type="pct"/>
            <w:shd w:val="clear" w:color="auto" w:fill="92D050"/>
            <w:vAlign w:val="center"/>
          </w:tcPr>
          <w:p w14:paraId="11F0A480" w14:textId="77777777" w:rsidR="00BC1D0E" w:rsidRPr="00BC1D0E" w:rsidRDefault="00BC1D0E" w:rsidP="004A405C">
            <w:pPr>
              <w:pStyle w:val="Paragraph"/>
              <w:spacing w:after="0"/>
              <w:ind w:left="161"/>
              <w:jc w:val="center"/>
              <w:rPr>
                <w:rFonts w:ascii="Cambria" w:hAnsi="Cambria"/>
                <w:sz w:val="20"/>
              </w:rPr>
            </w:pPr>
            <w:r w:rsidRPr="00BC1D0E">
              <w:rPr>
                <w:rFonts w:ascii="Cambria" w:hAnsi="Cambria"/>
                <w:sz w:val="20"/>
              </w:rPr>
              <w:t>1</w:t>
            </w:r>
          </w:p>
        </w:tc>
        <w:tc>
          <w:tcPr>
            <w:tcW w:w="902" w:type="pct"/>
            <w:vAlign w:val="center"/>
          </w:tcPr>
          <w:p w14:paraId="57E37E37" w14:textId="77777777" w:rsidR="00BC1D0E" w:rsidRPr="00BC1D0E" w:rsidRDefault="00BC1D0E" w:rsidP="004A405C">
            <w:pPr>
              <w:pStyle w:val="Paragraph"/>
              <w:spacing w:after="0"/>
              <w:ind w:left="98"/>
              <w:jc w:val="center"/>
              <w:rPr>
                <w:rFonts w:ascii="Cambria" w:hAnsi="Cambria"/>
                <w:sz w:val="20"/>
              </w:rPr>
            </w:pPr>
            <w:r w:rsidRPr="00BC1D0E">
              <w:rPr>
                <w:rFonts w:ascii="Cambria" w:hAnsi="Cambria"/>
                <w:sz w:val="20"/>
              </w:rPr>
              <w:t>Nizak</w:t>
            </w:r>
          </w:p>
        </w:tc>
        <w:tc>
          <w:tcPr>
            <w:tcW w:w="3084" w:type="pct"/>
            <w:vAlign w:val="center"/>
          </w:tcPr>
          <w:p w14:paraId="4D6DFB44" w14:textId="77777777" w:rsidR="00BC1D0E" w:rsidRPr="00BC1D0E" w:rsidRDefault="00BC1D0E" w:rsidP="004A405C">
            <w:pPr>
              <w:pStyle w:val="Paragraph"/>
              <w:spacing w:after="0"/>
              <w:ind w:left="104"/>
              <w:rPr>
                <w:rFonts w:ascii="Cambria" w:hAnsi="Cambria"/>
                <w:sz w:val="20"/>
              </w:rPr>
            </w:pPr>
            <w:r w:rsidRPr="00BC1D0E">
              <w:rPr>
                <w:rFonts w:ascii="Cambria" w:hAnsi="Cambria"/>
                <w:sz w:val="20"/>
              </w:rPr>
              <w:t>Zbog prirode prijetnje odnosno postojanja sigurnosnih mjera, realizacija štetnog djelovanje po obilježje informacijske imovine je nisko do zanemarivo</w:t>
            </w:r>
          </w:p>
        </w:tc>
      </w:tr>
      <w:tr w:rsidR="00BC1D0E" w:rsidRPr="00BC1D0E" w14:paraId="76B13EA6" w14:textId="77777777" w:rsidTr="006D2A8C">
        <w:trPr>
          <w:cantSplit/>
          <w:trHeight w:val="553"/>
          <w:jc w:val="center"/>
        </w:trPr>
        <w:tc>
          <w:tcPr>
            <w:tcW w:w="1014" w:type="pct"/>
            <w:shd w:val="clear" w:color="auto" w:fill="FFFF00"/>
            <w:vAlign w:val="center"/>
          </w:tcPr>
          <w:p w14:paraId="21A24FCA" w14:textId="77777777" w:rsidR="00BC1D0E" w:rsidRPr="00BC1D0E" w:rsidRDefault="00BC1D0E" w:rsidP="004A405C">
            <w:pPr>
              <w:pStyle w:val="Paragraph"/>
              <w:spacing w:after="0"/>
              <w:ind w:left="161"/>
              <w:jc w:val="center"/>
              <w:rPr>
                <w:rFonts w:ascii="Cambria" w:hAnsi="Cambria"/>
                <w:sz w:val="20"/>
              </w:rPr>
            </w:pPr>
            <w:r w:rsidRPr="00BC1D0E">
              <w:rPr>
                <w:rFonts w:ascii="Cambria" w:hAnsi="Cambria"/>
                <w:sz w:val="20"/>
              </w:rPr>
              <w:t>2</w:t>
            </w:r>
          </w:p>
        </w:tc>
        <w:tc>
          <w:tcPr>
            <w:tcW w:w="902" w:type="pct"/>
            <w:vAlign w:val="center"/>
          </w:tcPr>
          <w:p w14:paraId="6ADBC063" w14:textId="77777777" w:rsidR="00BC1D0E" w:rsidRPr="00BC1D0E" w:rsidRDefault="00BC1D0E" w:rsidP="004A405C">
            <w:pPr>
              <w:pStyle w:val="Paragraph"/>
              <w:spacing w:after="0"/>
              <w:ind w:left="98"/>
              <w:jc w:val="center"/>
              <w:rPr>
                <w:rFonts w:ascii="Cambria" w:hAnsi="Cambria"/>
                <w:sz w:val="20"/>
              </w:rPr>
            </w:pPr>
            <w:r w:rsidRPr="00BC1D0E">
              <w:rPr>
                <w:rFonts w:ascii="Cambria" w:hAnsi="Cambria"/>
                <w:sz w:val="20"/>
              </w:rPr>
              <w:t>Umjeren</w:t>
            </w:r>
          </w:p>
        </w:tc>
        <w:tc>
          <w:tcPr>
            <w:tcW w:w="3084" w:type="pct"/>
            <w:vAlign w:val="center"/>
          </w:tcPr>
          <w:p w14:paraId="0B708529" w14:textId="77777777" w:rsidR="00BC1D0E" w:rsidRPr="00BC1D0E" w:rsidRDefault="00BC1D0E" w:rsidP="004A405C">
            <w:pPr>
              <w:pStyle w:val="Paragraph"/>
              <w:spacing w:after="0"/>
              <w:ind w:left="104"/>
              <w:rPr>
                <w:rFonts w:ascii="Cambria" w:hAnsi="Cambria"/>
                <w:sz w:val="20"/>
              </w:rPr>
            </w:pPr>
            <w:r w:rsidRPr="00BC1D0E">
              <w:rPr>
                <w:rFonts w:ascii="Cambria" w:hAnsi="Cambria"/>
                <w:sz w:val="20"/>
              </w:rPr>
              <w:t>Zbog prirode prijetnje odnosno manjka sigurnosnih mjera u djelomičnoj mjeri se realizira njeno štetno djelovanje po obilježje informacijske imovine</w:t>
            </w:r>
          </w:p>
        </w:tc>
      </w:tr>
      <w:tr w:rsidR="00BC1D0E" w:rsidRPr="00BC1D0E" w14:paraId="48F80ED5" w14:textId="77777777" w:rsidTr="006D2A8C">
        <w:trPr>
          <w:cantSplit/>
          <w:trHeight w:val="505"/>
          <w:jc w:val="center"/>
        </w:trPr>
        <w:tc>
          <w:tcPr>
            <w:tcW w:w="1014" w:type="pct"/>
            <w:shd w:val="clear" w:color="auto" w:fill="E36C0A"/>
            <w:vAlign w:val="center"/>
          </w:tcPr>
          <w:p w14:paraId="08BD4E75" w14:textId="77777777" w:rsidR="00BC1D0E" w:rsidRPr="00BC1D0E" w:rsidRDefault="00BC1D0E" w:rsidP="004A405C">
            <w:pPr>
              <w:pStyle w:val="Paragraph"/>
              <w:spacing w:after="0"/>
              <w:ind w:left="161"/>
              <w:jc w:val="center"/>
              <w:rPr>
                <w:rFonts w:ascii="Cambria" w:hAnsi="Cambria"/>
                <w:sz w:val="20"/>
              </w:rPr>
            </w:pPr>
            <w:r w:rsidRPr="00BC1D0E">
              <w:rPr>
                <w:rFonts w:ascii="Cambria" w:hAnsi="Cambria"/>
                <w:sz w:val="20"/>
              </w:rPr>
              <w:t>3</w:t>
            </w:r>
          </w:p>
        </w:tc>
        <w:tc>
          <w:tcPr>
            <w:tcW w:w="902" w:type="pct"/>
            <w:vAlign w:val="center"/>
          </w:tcPr>
          <w:p w14:paraId="6177A48F" w14:textId="77777777" w:rsidR="00BC1D0E" w:rsidRPr="00BC1D0E" w:rsidRDefault="00BC1D0E" w:rsidP="004A405C">
            <w:pPr>
              <w:pStyle w:val="Paragraph"/>
              <w:spacing w:after="0"/>
              <w:ind w:left="98"/>
              <w:jc w:val="center"/>
              <w:rPr>
                <w:rFonts w:ascii="Cambria" w:hAnsi="Cambria"/>
                <w:sz w:val="20"/>
              </w:rPr>
            </w:pPr>
            <w:r w:rsidRPr="00BC1D0E">
              <w:rPr>
                <w:rFonts w:ascii="Cambria" w:hAnsi="Cambria"/>
                <w:sz w:val="20"/>
              </w:rPr>
              <w:t>Visok</w:t>
            </w:r>
          </w:p>
        </w:tc>
        <w:tc>
          <w:tcPr>
            <w:tcW w:w="3084" w:type="pct"/>
            <w:vAlign w:val="center"/>
          </w:tcPr>
          <w:p w14:paraId="45F0FBC8" w14:textId="77777777" w:rsidR="00BC1D0E" w:rsidRPr="00BC1D0E" w:rsidRDefault="00BC1D0E" w:rsidP="004A405C">
            <w:pPr>
              <w:pStyle w:val="Paragraph"/>
              <w:spacing w:after="0"/>
              <w:ind w:left="104"/>
              <w:rPr>
                <w:rFonts w:ascii="Cambria" w:hAnsi="Cambria"/>
                <w:sz w:val="20"/>
              </w:rPr>
            </w:pPr>
            <w:r w:rsidRPr="00BC1D0E">
              <w:rPr>
                <w:rFonts w:ascii="Cambria" w:hAnsi="Cambria"/>
                <w:sz w:val="20"/>
              </w:rPr>
              <w:t>Zbog prirode prijetnje odnosno manjka sigurnosnih mjera u znatnoj mjeri se realizira njeno štetno djelovanje po obilježje informacijske imovine</w:t>
            </w:r>
          </w:p>
        </w:tc>
      </w:tr>
      <w:tr w:rsidR="00BC1D0E" w:rsidRPr="00BC1D0E" w14:paraId="6EA04001" w14:textId="77777777" w:rsidTr="006D2A8C">
        <w:trPr>
          <w:cantSplit/>
          <w:trHeight w:val="515"/>
          <w:jc w:val="center"/>
        </w:trPr>
        <w:tc>
          <w:tcPr>
            <w:tcW w:w="1014" w:type="pct"/>
            <w:shd w:val="clear" w:color="auto" w:fill="FF0000"/>
            <w:vAlign w:val="center"/>
          </w:tcPr>
          <w:p w14:paraId="6F5DDFC9" w14:textId="77777777" w:rsidR="00BC1D0E" w:rsidRPr="00BC1D0E" w:rsidRDefault="00BC1D0E" w:rsidP="004A405C">
            <w:pPr>
              <w:pStyle w:val="Paragraph"/>
              <w:spacing w:after="0"/>
              <w:ind w:left="161"/>
              <w:jc w:val="center"/>
              <w:rPr>
                <w:rFonts w:ascii="Cambria" w:hAnsi="Cambria"/>
                <w:sz w:val="20"/>
              </w:rPr>
            </w:pPr>
            <w:r w:rsidRPr="00BC1D0E">
              <w:rPr>
                <w:rFonts w:ascii="Cambria" w:hAnsi="Cambria"/>
                <w:sz w:val="20"/>
              </w:rPr>
              <w:t>4</w:t>
            </w:r>
          </w:p>
        </w:tc>
        <w:tc>
          <w:tcPr>
            <w:tcW w:w="902" w:type="pct"/>
            <w:vAlign w:val="center"/>
          </w:tcPr>
          <w:p w14:paraId="7F5F1D20" w14:textId="77777777" w:rsidR="00BC1D0E" w:rsidRPr="00BC1D0E" w:rsidRDefault="00BC1D0E" w:rsidP="004A405C">
            <w:pPr>
              <w:pStyle w:val="Paragraph"/>
              <w:spacing w:after="0"/>
              <w:ind w:left="98"/>
              <w:jc w:val="center"/>
              <w:rPr>
                <w:rFonts w:ascii="Cambria" w:hAnsi="Cambria"/>
                <w:sz w:val="20"/>
              </w:rPr>
            </w:pPr>
            <w:r w:rsidRPr="00BC1D0E">
              <w:rPr>
                <w:rFonts w:ascii="Cambria" w:hAnsi="Cambria"/>
                <w:sz w:val="20"/>
              </w:rPr>
              <w:t>Ekstreman</w:t>
            </w:r>
          </w:p>
        </w:tc>
        <w:tc>
          <w:tcPr>
            <w:tcW w:w="3084" w:type="pct"/>
            <w:vAlign w:val="center"/>
          </w:tcPr>
          <w:p w14:paraId="7EED3F3F" w14:textId="77777777" w:rsidR="00BC1D0E" w:rsidRPr="00BC1D0E" w:rsidRDefault="00BC1D0E" w:rsidP="004A405C">
            <w:pPr>
              <w:pStyle w:val="Paragraph"/>
              <w:spacing w:after="0"/>
              <w:ind w:left="104"/>
              <w:rPr>
                <w:rFonts w:ascii="Cambria" w:hAnsi="Cambria"/>
                <w:sz w:val="20"/>
              </w:rPr>
            </w:pPr>
            <w:r w:rsidRPr="00BC1D0E">
              <w:rPr>
                <w:rFonts w:ascii="Cambria" w:hAnsi="Cambria"/>
                <w:sz w:val="20"/>
              </w:rPr>
              <w:t>Zbog prirode prijetnje odnosno manjka sigurnosnih mjera u potpunosti se realizira njeno štetno djelovanje po obilježje informacijske imovine</w:t>
            </w:r>
          </w:p>
        </w:tc>
      </w:tr>
    </w:tbl>
    <w:p w14:paraId="14C46AC4" w14:textId="25D6A48B" w:rsidR="00BC1D0E" w:rsidRPr="00A83023" w:rsidRDefault="00E5334A" w:rsidP="00E5334A">
      <w:pPr>
        <w:pStyle w:val="Caption"/>
        <w:rPr>
          <w:b/>
        </w:rPr>
      </w:pPr>
      <w:r>
        <w:t xml:space="preserve">Tablica </w:t>
      </w:r>
      <w:fldSimple w:instr=" SEQ Tablica \* ARABIC ">
        <w:r>
          <w:rPr>
            <w:noProof/>
          </w:rPr>
          <w:t>3</w:t>
        </w:r>
      </w:fldSimple>
      <w:r>
        <w:t xml:space="preserve">. </w:t>
      </w:r>
      <w:r w:rsidRPr="009217CF">
        <w:t>Utjecaj prijetnji</w:t>
      </w:r>
    </w:p>
    <w:p w14:paraId="4E40932E" w14:textId="77777777" w:rsidR="00BC1D0E" w:rsidRDefault="00BC1D0E" w:rsidP="00BC1D0E">
      <w:r w:rsidRPr="0035543F">
        <w:t xml:space="preserve">Ukupan iznos rizika se računa prema slijedećoj tablici </w:t>
      </w:r>
      <w:r>
        <w:t>4</w:t>
      </w:r>
      <w:r w:rsidRPr="0035543F">
        <w:t>:</w:t>
      </w:r>
    </w:p>
    <w:tbl>
      <w:tblPr>
        <w:tblW w:w="35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
        <w:gridCol w:w="1245"/>
        <w:gridCol w:w="1187"/>
        <w:gridCol w:w="1190"/>
        <w:gridCol w:w="1239"/>
        <w:gridCol w:w="1272"/>
      </w:tblGrid>
      <w:tr w:rsidR="00BC1D0E" w:rsidRPr="00BC1D0E" w14:paraId="430BCEF2" w14:textId="77777777" w:rsidTr="00BC1D0E">
        <w:trPr>
          <w:cantSplit/>
          <w:trHeight w:val="20"/>
          <w:tblHeader/>
          <w:jc w:val="center"/>
        </w:trPr>
        <w:tc>
          <w:tcPr>
            <w:tcW w:w="1243" w:type="pct"/>
            <w:gridSpan w:val="2"/>
            <w:tcBorders>
              <w:top w:val="nil"/>
              <w:left w:val="nil"/>
              <w:bottom w:val="single" w:sz="12" w:space="0" w:color="auto"/>
              <w:right w:val="single" w:sz="12" w:space="0" w:color="auto"/>
            </w:tcBorders>
            <w:shd w:val="clear" w:color="auto" w:fill="F2F2F2"/>
            <w:vAlign w:val="center"/>
          </w:tcPr>
          <w:p w14:paraId="1E5B2B79"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RIZIK</w:t>
            </w:r>
          </w:p>
        </w:tc>
        <w:tc>
          <w:tcPr>
            <w:tcW w:w="3757" w:type="pct"/>
            <w:gridSpan w:val="4"/>
            <w:tcBorders>
              <w:top w:val="single" w:sz="12" w:space="0" w:color="auto"/>
              <w:left w:val="single" w:sz="12" w:space="0" w:color="auto"/>
              <w:bottom w:val="single" w:sz="4" w:space="0" w:color="auto"/>
            </w:tcBorders>
            <w:shd w:val="clear" w:color="auto" w:fill="D9D9D9"/>
            <w:vAlign w:val="center"/>
          </w:tcPr>
          <w:p w14:paraId="2A9F79A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Utjecaj</w:t>
            </w:r>
          </w:p>
        </w:tc>
      </w:tr>
      <w:tr w:rsidR="00BC1D0E" w:rsidRPr="00BC1D0E" w14:paraId="12BC4422" w14:textId="77777777" w:rsidTr="00BC1D0E">
        <w:trPr>
          <w:cantSplit/>
          <w:trHeight w:val="20"/>
          <w:jc w:val="center"/>
        </w:trPr>
        <w:tc>
          <w:tcPr>
            <w:tcW w:w="1243" w:type="pct"/>
            <w:gridSpan w:val="2"/>
            <w:vMerge w:val="restart"/>
            <w:tcBorders>
              <w:top w:val="single" w:sz="12" w:space="0" w:color="auto"/>
              <w:bottom w:val="single" w:sz="6" w:space="0" w:color="auto"/>
              <w:right w:val="single" w:sz="12" w:space="0" w:color="auto"/>
            </w:tcBorders>
            <w:shd w:val="clear" w:color="auto" w:fill="D9D9D9"/>
            <w:vAlign w:val="center"/>
          </w:tcPr>
          <w:p w14:paraId="370EDF60"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Vjerojatnost</w:t>
            </w:r>
          </w:p>
        </w:tc>
        <w:tc>
          <w:tcPr>
            <w:tcW w:w="912" w:type="pct"/>
            <w:tcBorders>
              <w:top w:val="single" w:sz="4" w:space="0" w:color="auto"/>
              <w:left w:val="single" w:sz="12" w:space="0" w:color="auto"/>
              <w:bottom w:val="single" w:sz="6" w:space="0" w:color="auto"/>
            </w:tcBorders>
            <w:shd w:val="clear" w:color="auto" w:fill="92D050"/>
            <w:vAlign w:val="center"/>
          </w:tcPr>
          <w:p w14:paraId="509C27F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1</w:t>
            </w:r>
          </w:p>
        </w:tc>
        <w:tc>
          <w:tcPr>
            <w:tcW w:w="915" w:type="pct"/>
            <w:tcBorders>
              <w:top w:val="single" w:sz="4" w:space="0" w:color="auto"/>
              <w:bottom w:val="single" w:sz="6" w:space="0" w:color="auto"/>
            </w:tcBorders>
            <w:shd w:val="clear" w:color="auto" w:fill="FFFF00"/>
            <w:vAlign w:val="center"/>
          </w:tcPr>
          <w:p w14:paraId="11B5EA27"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2</w:t>
            </w:r>
          </w:p>
        </w:tc>
        <w:tc>
          <w:tcPr>
            <w:tcW w:w="952" w:type="pct"/>
            <w:tcBorders>
              <w:top w:val="single" w:sz="4" w:space="0" w:color="auto"/>
              <w:bottom w:val="single" w:sz="6" w:space="0" w:color="auto"/>
            </w:tcBorders>
            <w:shd w:val="clear" w:color="auto" w:fill="E36C0A"/>
            <w:vAlign w:val="center"/>
          </w:tcPr>
          <w:p w14:paraId="0AE48F39"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3</w:t>
            </w:r>
          </w:p>
        </w:tc>
        <w:tc>
          <w:tcPr>
            <w:tcW w:w="978" w:type="pct"/>
            <w:tcBorders>
              <w:top w:val="single" w:sz="4" w:space="0" w:color="auto"/>
              <w:bottom w:val="single" w:sz="6" w:space="0" w:color="auto"/>
            </w:tcBorders>
            <w:shd w:val="clear" w:color="auto" w:fill="FF0000"/>
            <w:vAlign w:val="center"/>
          </w:tcPr>
          <w:p w14:paraId="7D5721E5"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4</w:t>
            </w:r>
          </w:p>
        </w:tc>
      </w:tr>
      <w:tr w:rsidR="00BC1D0E" w:rsidRPr="00BC1D0E" w14:paraId="691370C2" w14:textId="77777777" w:rsidTr="00BC1D0E">
        <w:trPr>
          <w:cantSplit/>
          <w:trHeight w:val="20"/>
          <w:jc w:val="center"/>
        </w:trPr>
        <w:tc>
          <w:tcPr>
            <w:tcW w:w="1243" w:type="pct"/>
            <w:gridSpan w:val="2"/>
            <w:vMerge/>
            <w:tcBorders>
              <w:top w:val="single" w:sz="6" w:space="0" w:color="auto"/>
              <w:bottom w:val="single" w:sz="6" w:space="0" w:color="auto"/>
              <w:right w:val="single" w:sz="12" w:space="0" w:color="auto"/>
            </w:tcBorders>
            <w:shd w:val="clear" w:color="auto" w:fill="D9D9D9"/>
            <w:vAlign w:val="center"/>
          </w:tcPr>
          <w:p w14:paraId="5B8E7C3B" w14:textId="77777777" w:rsidR="00BC1D0E" w:rsidRPr="00BC1D0E" w:rsidRDefault="00BC1D0E" w:rsidP="006D2A8C">
            <w:pPr>
              <w:pStyle w:val="Paragraph"/>
              <w:spacing w:before="40" w:after="40"/>
              <w:ind w:left="34" w:firstLine="686"/>
              <w:jc w:val="center"/>
              <w:rPr>
                <w:rFonts w:ascii="Cambria" w:hAnsi="Cambria"/>
              </w:rPr>
            </w:pPr>
          </w:p>
        </w:tc>
        <w:tc>
          <w:tcPr>
            <w:tcW w:w="912" w:type="pct"/>
            <w:tcBorders>
              <w:top w:val="single" w:sz="6" w:space="0" w:color="auto"/>
              <w:left w:val="single" w:sz="12" w:space="0" w:color="auto"/>
              <w:bottom w:val="single" w:sz="12" w:space="0" w:color="auto"/>
            </w:tcBorders>
            <w:shd w:val="clear" w:color="auto" w:fill="92D050"/>
            <w:vAlign w:val="center"/>
          </w:tcPr>
          <w:p w14:paraId="0440BFE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Nizak</w:t>
            </w:r>
          </w:p>
        </w:tc>
        <w:tc>
          <w:tcPr>
            <w:tcW w:w="915" w:type="pct"/>
            <w:tcBorders>
              <w:top w:val="single" w:sz="6" w:space="0" w:color="auto"/>
              <w:bottom w:val="single" w:sz="12" w:space="0" w:color="auto"/>
            </w:tcBorders>
            <w:shd w:val="clear" w:color="auto" w:fill="FFFF00"/>
            <w:vAlign w:val="center"/>
          </w:tcPr>
          <w:p w14:paraId="430E9393"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Umjeren</w:t>
            </w:r>
          </w:p>
        </w:tc>
        <w:tc>
          <w:tcPr>
            <w:tcW w:w="952" w:type="pct"/>
            <w:tcBorders>
              <w:top w:val="single" w:sz="6" w:space="0" w:color="auto"/>
              <w:bottom w:val="single" w:sz="12" w:space="0" w:color="auto"/>
            </w:tcBorders>
            <w:shd w:val="clear" w:color="auto" w:fill="E36C0A"/>
            <w:vAlign w:val="center"/>
          </w:tcPr>
          <w:p w14:paraId="21405103"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Visok</w:t>
            </w:r>
          </w:p>
        </w:tc>
        <w:tc>
          <w:tcPr>
            <w:tcW w:w="978" w:type="pct"/>
            <w:tcBorders>
              <w:top w:val="single" w:sz="6" w:space="0" w:color="auto"/>
              <w:bottom w:val="single" w:sz="12" w:space="0" w:color="auto"/>
            </w:tcBorders>
            <w:shd w:val="clear" w:color="auto" w:fill="FF0000"/>
            <w:vAlign w:val="center"/>
          </w:tcPr>
          <w:p w14:paraId="3B709511"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004DE93" w14:textId="77777777" w:rsidTr="00BC1D0E">
        <w:trPr>
          <w:cantSplit/>
          <w:trHeight w:val="20"/>
          <w:jc w:val="center"/>
        </w:trPr>
        <w:tc>
          <w:tcPr>
            <w:tcW w:w="286" w:type="pct"/>
            <w:shd w:val="clear" w:color="auto" w:fill="92D050"/>
            <w:vAlign w:val="center"/>
          </w:tcPr>
          <w:p w14:paraId="29D9BC89"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1</w:t>
            </w:r>
          </w:p>
        </w:tc>
        <w:tc>
          <w:tcPr>
            <w:tcW w:w="957" w:type="pct"/>
            <w:tcBorders>
              <w:top w:val="single" w:sz="6" w:space="0" w:color="auto"/>
              <w:bottom w:val="single" w:sz="6" w:space="0" w:color="auto"/>
              <w:right w:val="single" w:sz="12" w:space="0" w:color="auto"/>
            </w:tcBorders>
            <w:shd w:val="clear" w:color="auto" w:fill="92D050"/>
            <w:vAlign w:val="center"/>
          </w:tcPr>
          <w:p w14:paraId="2122A97D"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Niska</w:t>
            </w:r>
          </w:p>
        </w:tc>
        <w:tc>
          <w:tcPr>
            <w:tcW w:w="912" w:type="pct"/>
            <w:shd w:val="clear" w:color="auto" w:fill="92D050"/>
            <w:vAlign w:val="center"/>
          </w:tcPr>
          <w:p w14:paraId="49CCF275"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567E485F"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92D050"/>
            <w:vAlign w:val="center"/>
          </w:tcPr>
          <w:p w14:paraId="45AB447F"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Nizak</w:t>
            </w:r>
          </w:p>
        </w:tc>
        <w:tc>
          <w:tcPr>
            <w:tcW w:w="978" w:type="pct"/>
            <w:shd w:val="clear" w:color="auto" w:fill="FFFF00"/>
            <w:vAlign w:val="center"/>
          </w:tcPr>
          <w:p w14:paraId="566F89C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Umjeren</w:t>
            </w:r>
          </w:p>
        </w:tc>
      </w:tr>
      <w:tr w:rsidR="00BC1D0E" w:rsidRPr="00BC1D0E" w14:paraId="5786B59B" w14:textId="77777777" w:rsidTr="00BC1D0E">
        <w:trPr>
          <w:cantSplit/>
          <w:trHeight w:val="20"/>
          <w:jc w:val="center"/>
        </w:trPr>
        <w:tc>
          <w:tcPr>
            <w:tcW w:w="286" w:type="pct"/>
            <w:shd w:val="clear" w:color="auto" w:fill="FFFF00"/>
            <w:vAlign w:val="center"/>
          </w:tcPr>
          <w:p w14:paraId="25DB73F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2</w:t>
            </w:r>
          </w:p>
        </w:tc>
        <w:tc>
          <w:tcPr>
            <w:tcW w:w="957" w:type="pct"/>
            <w:tcBorders>
              <w:top w:val="single" w:sz="6" w:space="0" w:color="auto"/>
              <w:bottom w:val="single" w:sz="6" w:space="0" w:color="auto"/>
              <w:right w:val="single" w:sz="12" w:space="0" w:color="auto"/>
            </w:tcBorders>
            <w:shd w:val="clear" w:color="auto" w:fill="FFFF00"/>
            <w:vAlign w:val="center"/>
          </w:tcPr>
          <w:p w14:paraId="6EFD686E"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Umjerena</w:t>
            </w:r>
          </w:p>
        </w:tc>
        <w:tc>
          <w:tcPr>
            <w:tcW w:w="912" w:type="pct"/>
            <w:shd w:val="clear" w:color="auto" w:fill="92D050"/>
            <w:vAlign w:val="center"/>
          </w:tcPr>
          <w:p w14:paraId="0A9C34A8"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259CCBB4"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FFFF00"/>
            <w:vAlign w:val="center"/>
          </w:tcPr>
          <w:p w14:paraId="0B3F747D"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Umjeren</w:t>
            </w:r>
          </w:p>
        </w:tc>
        <w:tc>
          <w:tcPr>
            <w:tcW w:w="978" w:type="pct"/>
            <w:shd w:val="clear" w:color="auto" w:fill="E36C0A"/>
            <w:vAlign w:val="center"/>
          </w:tcPr>
          <w:p w14:paraId="1C64867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Visok</w:t>
            </w:r>
          </w:p>
        </w:tc>
      </w:tr>
      <w:tr w:rsidR="00BC1D0E" w:rsidRPr="00BC1D0E" w14:paraId="66E8AABF" w14:textId="77777777" w:rsidTr="00BC1D0E">
        <w:trPr>
          <w:cantSplit/>
          <w:trHeight w:val="20"/>
          <w:jc w:val="center"/>
        </w:trPr>
        <w:tc>
          <w:tcPr>
            <w:tcW w:w="286" w:type="pct"/>
            <w:shd w:val="clear" w:color="auto" w:fill="E36C0A"/>
            <w:vAlign w:val="center"/>
          </w:tcPr>
          <w:p w14:paraId="65F1CE41"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3</w:t>
            </w:r>
          </w:p>
        </w:tc>
        <w:tc>
          <w:tcPr>
            <w:tcW w:w="957" w:type="pct"/>
            <w:tcBorders>
              <w:top w:val="single" w:sz="6" w:space="0" w:color="auto"/>
              <w:bottom w:val="single" w:sz="6" w:space="0" w:color="auto"/>
              <w:right w:val="single" w:sz="12" w:space="0" w:color="auto"/>
            </w:tcBorders>
            <w:shd w:val="clear" w:color="auto" w:fill="E36C0A"/>
            <w:vAlign w:val="center"/>
          </w:tcPr>
          <w:p w14:paraId="08827061"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Visoka</w:t>
            </w:r>
          </w:p>
        </w:tc>
        <w:tc>
          <w:tcPr>
            <w:tcW w:w="912" w:type="pct"/>
            <w:shd w:val="clear" w:color="auto" w:fill="92D050"/>
            <w:vAlign w:val="center"/>
          </w:tcPr>
          <w:p w14:paraId="0F1DE7C6"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Nizak</w:t>
            </w:r>
          </w:p>
        </w:tc>
        <w:tc>
          <w:tcPr>
            <w:tcW w:w="915" w:type="pct"/>
            <w:shd w:val="clear" w:color="auto" w:fill="FFFF00"/>
            <w:vAlign w:val="center"/>
          </w:tcPr>
          <w:p w14:paraId="095142B1"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52" w:type="pct"/>
            <w:shd w:val="clear" w:color="auto" w:fill="E36C0A"/>
            <w:vAlign w:val="center"/>
          </w:tcPr>
          <w:p w14:paraId="0D7836C7"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78" w:type="pct"/>
            <w:shd w:val="clear" w:color="auto" w:fill="FF0000"/>
            <w:vAlign w:val="center"/>
          </w:tcPr>
          <w:p w14:paraId="57DA25CA"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8B2B7DD" w14:textId="77777777" w:rsidTr="00BC1D0E">
        <w:trPr>
          <w:cantSplit/>
          <w:trHeight w:val="20"/>
          <w:jc w:val="center"/>
        </w:trPr>
        <w:tc>
          <w:tcPr>
            <w:tcW w:w="286" w:type="pct"/>
            <w:shd w:val="clear" w:color="auto" w:fill="FF0000"/>
            <w:vAlign w:val="center"/>
          </w:tcPr>
          <w:p w14:paraId="06EB3E9A"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4</w:t>
            </w:r>
          </w:p>
        </w:tc>
        <w:tc>
          <w:tcPr>
            <w:tcW w:w="957" w:type="pct"/>
            <w:tcBorders>
              <w:top w:val="single" w:sz="6" w:space="0" w:color="auto"/>
              <w:bottom w:val="single" w:sz="12" w:space="0" w:color="auto"/>
              <w:right w:val="single" w:sz="12" w:space="0" w:color="auto"/>
            </w:tcBorders>
            <w:shd w:val="clear" w:color="auto" w:fill="FF0000"/>
            <w:vAlign w:val="center"/>
          </w:tcPr>
          <w:p w14:paraId="09CD4BE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Ekstremna</w:t>
            </w:r>
          </w:p>
        </w:tc>
        <w:tc>
          <w:tcPr>
            <w:tcW w:w="912" w:type="pct"/>
            <w:shd w:val="clear" w:color="auto" w:fill="FFFF00"/>
            <w:vAlign w:val="center"/>
          </w:tcPr>
          <w:p w14:paraId="23E67C7F"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15" w:type="pct"/>
            <w:shd w:val="clear" w:color="auto" w:fill="E36C0A"/>
            <w:vAlign w:val="center"/>
          </w:tcPr>
          <w:p w14:paraId="5C42CCDB"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52" w:type="pct"/>
            <w:shd w:val="clear" w:color="auto" w:fill="FF0000"/>
            <w:vAlign w:val="center"/>
          </w:tcPr>
          <w:p w14:paraId="09B9DAA8" w14:textId="77777777" w:rsidR="00BC1D0E" w:rsidRPr="00BC1D0E" w:rsidRDefault="00BC1D0E" w:rsidP="006D2A8C">
            <w:pPr>
              <w:pStyle w:val="Paragraph"/>
              <w:spacing w:before="40" w:after="40"/>
              <w:ind w:left="7" w:hanging="7"/>
              <w:jc w:val="center"/>
              <w:rPr>
                <w:rFonts w:ascii="Cambria" w:hAnsi="Cambria"/>
              </w:rPr>
            </w:pPr>
            <w:r w:rsidRPr="00BC1D0E">
              <w:rPr>
                <w:rFonts w:ascii="Cambria" w:hAnsi="Cambria"/>
              </w:rPr>
              <w:t>Ekstreman</w:t>
            </w:r>
          </w:p>
        </w:tc>
        <w:tc>
          <w:tcPr>
            <w:tcW w:w="978" w:type="pct"/>
            <w:shd w:val="clear" w:color="auto" w:fill="FF0000"/>
            <w:vAlign w:val="center"/>
          </w:tcPr>
          <w:p w14:paraId="3A06247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Ekstreman</w:t>
            </w:r>
          </w:p>
        </w:tc>
      </w:tr>
    </w:tbl>
    <w:p w14:paraId="1B4454B5" w14:textId="208A16F4" w:rsidR="00BC1D0E" w:rsidRPr="00A83023" w:rsidRDefault="00E5334A" w:rsidP="00E5334A">
      <w:pPr>
        <w:pStyle w:val="Caption"/>
        <w:rPr>
          <w:b/>
        </w:rPr>
      </w:pPr>
      <w:r>
        <w:t xml:space="preserve">Tablica </w:t>
      </w:r>
      <w:fldSimple w:instr=" SEQ Tablica \* ARABIC ">
        <w:r>
          <w:rPr>
            <w:noProof/>
          </w:rPr>
          <w:t>4</w:t>
        </w:r>
      </w:fldSimple>
      <w:r>
        <w:t xml:space="preserve">. </w:t>
      </w:r>
      <w:r w:rsidRPr="00B15111">
        <w:t>Iznos rizika</w:t>
      </w:r>
    </w:p>
    <w:p w14:paraId="277258CE" w14:textId="77777777" w:rsidR="00BC1D0E" w:rsidRPr="0035543F" w:rsidRDefault="00BC1D0E" w:rsidP="00BC1D0E">
      <w:r w:rsidRPr="0035543F">
        <w:t>Nakon što su određeni parametri vjerojatnosti rizika te vrijednosti informacijske imovine vrši se izračun rizika za svako pojedino obilježje informacija.</w:t>
      </w:r>
      <w:r w:rsidR="00E16604">
        <w:t xml:space="preserve"> </w:t>
      </w:r>
      <w:r w:rsidRPr="0035543F">
        <w:t>Parametri i podaci koji se koriste prilikom ove aktivnosti definirani su u obrascima kataloga rizika.</w:t>
      </w:r>
    </w:p>
    <w:p w14:paraId="68C5A163" w14:textId="16DAAD88" w:rsidR="00BC1D0E" w:rsidRDefault="00BC1D0E" w:rsidP="00BC1D0E">
      <w:r w:rsidRPr="0035543F">
        <w:rPr>
          <w:b/>
        </w:rPr>
        <w:lastRenderedPageBreak/>
        <w:t xml:space="preserve">Rizici koji su procijenjeni kao </w:t>
      </w:r>
      <w:r>
        <w:rPr>
          <w:b/>
        </w:rPr>
        <w:t>umjereni</w:t>
      </w:r>
      <w:r w:rsidRPr="0035543F">
        <w:rPr>
          <w:b/>
        </w:rPr>
        <w:t xml:space="preserve"> i niski smatraju se prihvatljivima i kao takvi ne ulaze u plan za tretiranje rizika</w:t>
      </w:r>
      <w:r w:rsidRPr="0035543F">
        <w:t xml:space="preserve">, tj. njih nije potrebno tretirati kako bi se umanjile posljedice ostvarivanja prijetnji. </w:t>
      </w:r>
      <w:r w:rsidR="008928CD">
        <w:t xml:space="preserve">Društvo </w:t>
      </w:r>
      <w:r w:rsidRPr="0035543F">
        <w:t>svjesno prihvaća postojanje ovih rizika i mogućih posljedica njihovog ostvarivanja.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FC39321" w14:textId="77777777" w:rsidTr="00BC1D0E">
        <w:tc>
          <w:tcPr>
            <w:tcW w:w="3794" w:type="dxa"/>
            <w:shd w:val="clear" w:color="auto" w:fill="FFFFFF" w:themeFill="background1"/>
          </w:tcPr>
          <w:p w14:paraId="00CD48E8" w14:textId="77777777" w:rsidR="00BC1D0E" w:rsidRPr="00BC1D0E" w:rsidRDefault="00BC1D0E" w:rsidP="006D2A8C">
            <w:r w:rsidRPr="00BC1D0E">
              <w:t>Ulazi:</w:t>
            </w:r>
          </w:p>
        </w:tc>
        <w:tc>
          <w:tcPr>
            <w:tcW w:w="1417" w:type="dxa"/>
            <w:shd w:val="clear" w:color="auto" w:fill="FFFFFF" w:themeFill="background1"/>
          </w:tcPr>
          <w:p w14:paraId="5E729C02" w14:textId="77777777" w:rsidR="00BC1D0E" w:rsidRPr="00BC1D0E" w:rsidRDefault="00BC1D0E" w:rsidP="006D2A8C">
            <w:r w:rsidRPr="00BC1D0E">
              <w:rPr>
                <w:noProof/>
              </w:rPr>
              <mc:AlternateContent>
                <mc:Choice Requires="wps">
                  <w:drawing>
                    <wp:anchor distT="0" distB="0" distL="114300" distR="114300" simplePos="0" relativeHeight="251665408" behindDoc="0" locked="0" layoutInCell="1" allowOverlap="1" wp14:anchorId="778833A2" wp14:editId="09DB4F07">
                      <wp:simplePos x="0" y="0"/>
                      <wp:positionH relativeFrom="column">
                        <wp:posOffset>-5080</wp:posOffset>
                      </wp:positionH>
                      <wp:positionV relativeFrom="paragraph">
                        <wp:posOffset>207645</wp:posOffset>
                      </wp:positionV>
                      <wp:extent cx="727710" cy="406400"/>
                      <wp:effectExtent l="0" t="12700" r="21590" b="25400"/>
                      <wp:wrapNone/>
                      <wp:docPr id="10" name="Right Arrow 10"/>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ADE89E" id="Right Arrow 10" o:spid="_x0000_s1026" type="#_x0000_t13" style="position:absolute;margin-left:-.4pt;margin-top:16.35pt;width:57.3pt;height: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upDDF4AAA&#13;&#10;AAwBAAAPAAAAAAAAAAAAAAAAANQEAABkcnMvZG93bnJldi54bWxQSwUGAAAAAAQABADzAAAA4QUA&#13;&#10;AAAA&#13;&#10;" adj="15569" fillcolor="#0d5435" strokecolor="#1f3763 [1604]" strokeweight="1pt"/>
                  </w:pict>
                </mc:Fallback>
              </mc:AlternateContent>
            </w:r>
          </w:p>
        </w:tc>
        <w:tc>
          <w:tcPr>
            <w:tcW w:w="3856" w:type="dxa"/>
            <w:shd w:val="clear" w:color="auto" w:fill="FFFFFF" w:themeFill="background1"/>
          </w:tcPr>
          <w:p w14:paraId="6DD7ED9D" w14:textId="77777777" w:rsidR="00BC1D0E" w:rsidRPr="00BC1D0E" w:rsidRDefault="00BC1D0E" w:rsidP="006D2A8C">
            <w:r w:rsidRPr="00BC1D0E">
              <w:t>Izlazi:</w:t>
            </w:r>
          </w:p>
        </w:tc>
      </w:tr>
      <w:tr w:rsidR="00BC1D0E" w:rsidRPr="00BC1D0E" w14:paraId="4C075AE0" w14:textId="77777777" w:rsidTr="00BC1D0E">
        <w:tc>
          <w:tcPr>
            <w:tcW w:w="3794" w:type="dxa"/>
          </w:tcPr>
          <w:p w14:paraId="5CF00C76"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274B314F" w14:textId="18A64BCD" w:rsidR="00BC1D0E" w:rsidRPr="00BC1D0E" w:rsidRDefault="00BC1D0E" w:rsidP="00B9205F">
            <w:pPr>
              <w:pStyle w:val="ListParagraph"/>
              <w:numPr>
                <w:ilvl w:val="0"/>
                <w:numId w:val="12"/>
              </w:numPr>
              <w:tabs>
                <w:tab w:val="left" w:pos="142"/>
              </w:tabs>
              <w:jc w:val="left"/>
            </w:pPr>
            <w:r w:rsidRPr="00BC1D0E">
              <w:t>Katalog rizika</w:t>
            </w:r>
          </w:p>
        </w:tc>
        <w:tc>
          <w:tcPr>
            <w:tcW w:w="1417" w:type="dxa"/>
          </w:tcPr>
          <w:p w14:paraId="0AAF71EE" w14:textId="77777777" w:rsidR="00BC1D0E" w:rsidRPr="00BC1D0E" w:rsidRDefault="00BC1D0E" w:rsidP="006D2A8C"/>
        </w:tc>
        <w:tc>
          <w:tcPr>
            <w:tcW w:w="3856" w:type="dxa"/>
          </w:tcPr>
          <w:p w14:paraId="07B26B3D" w14:textId="77777777" w:rsidR="00BC1D0E" w:rsidRPr="00BC1D0E" w:rsidRDefault="00BC1D0E" w:rsidP="00E16604">
            <w:pPr>
              <w:pStyle w:val="ListParagraph"/>
              <w:numPr>
                <w:ilvl w:val="0"/>
                <w:numId w:val="12"/>
              </w:numPr>
              <w:tabs>
                <w:tab w:val="left" w:pos="142"/>
              </w:tabs>
              <w:jc w:val="left"/>
            </w:pPr>
            <w:r w:rsidRPr="00BC1D0E">
              <w:t>Ažurirani Katalog rizika</w:t>
            </w:r>
          </w:p>
          <w:p w14:paraId="62C8CA57" w14:textId="77777777" w:rsidR="00BC1D0E" w:rsidRPr="00BC1D0E" w:rsidRDefault="00BC1D0E" w:rsidP="006D2A8C"/>
        </w:tc>
      </w:tr>
    </w:tbl>
    <w:p w14:paraId="51361319" w14:textId="77777777" w:rsidR="00BC1D0E" w:rsidRDefault="00BC1D0E" w:rsidP="00BC1D0E">
      <w:pPr>
        <w:pStyle w:val="Heading1"/>
      </w:pPr>
      <w:bookmarkStart w:id="60" w:name="_Toc242259723"/>
      <w:bookmarkStart w:id="61" w:name="_Toc258508794"/>
      <w:bookmarkStart w:id="62" w:name="_Toc441658298"/>
      <w:bookmarkStart w:id="63" w:name="_Toc477873689"/>
      <w:r w:rsidRPr="00D15728">
        <w:t>Obrada</w:t>
      </w:r>
      <w:r>
        <w:t xml:space="preserve"> rizika</w:t>
      </w:r>
      <w:bookmarkEnd w:id="60"/>
      <w:bookmarkEnd w:id="61"/>
      <w:bookmarkEnd w:id="62"/>
      <w:bookmarkEnd w:id="63"/>
    </w:p>
    <w:p w14:paraId="22878A1D" w14:textId="77777777" w:rsidR="00BC1D0E" w:rsidRPr="0035543F" w:rsidRDefault="00BC1D0E" w:rsidP="00BC1D0E">
      <w:r w:rsidRPr="0035543F">
        <w:t>Nakon analize rizika potrebno je konsolidirati prikupljene rizike te ih sistematizirati u Izvješće o procjeni rizika. Izvješće treba sadržavati sve razmatrane rizike te veličinu i količinu njihovih utjecaja na cjelokupno poslovanje.</w:t>
      </w:r>
    </w:p>
    <w:p w14:paraId="44CA40D1" w14:textId="77777777" w:rsidR="00BC1D0E" w:rsidRPr="0035543F" w:rsidRDefault="00BC1D0E" w:rsidP="00BC1D0E">
      <w:r w:rsidRPr="0035543F">
        <w:t>Radi lakšeg pregledavanja i uočavanja trendova izvještaj mora uključivati nekoliko statističkih prikaza rizika. Izračunati rizici se rangiraju i uspoređuju sa prethodnim analizama radi uočavanja trendova.</w:t>
      </w:r>
    </w:p>
    <w:p w14:paraId="1E257A4E" w14:textId="77777777" w:rsidR="00BC1D0E" w:rsidRPr="0035543F" w:rsidRDefault="00BC1D0E" w:rsidP="00BC1D0E">
      <w:r w:rsidRPr="0035543F">
        <w:t>Preporučeni statistički pokazatelji su:</w:t>
      </w:r>
    </w:p>
    <w:p w14:paraId="1ED1B6CA" w14:textId="77777777" w:rsidR="00BC1D0E" w:rsidRPr="00BC1D0E" w:rsidRDefault="00BC1D0E" w:rsidP="00E16604">
      <w:pPr>
        <w:pStyle w:val="ListParagraph"/>
        <w:numPr>
          <w:ilvl w:val="0"/>
          <w:numId w:val="14"/>
        </w:numPr>
        <w:tabs>
          <w:tab w:val="left" w:pos="142"/>
        </w:tabs>
      </w:pPr>
      <w:r w:rsidRPr="00BC1D0E">
        <w:t>broj rizika prema veličini (razini) rizika,</w:t>
      </w:r>
    </w:p>
    <w:p w14:paraId="6E5E1C8D" w14:textId="77777777" w:rsidR="00BC1D0E" w:rsidRPr="00BC1D0E" w:rsidRDefault="00BC1D0E" w:rsidP="00E16604">
      <w:pPr>
        <w:pStyle w:val="ListParagraph"/>
        <w:numPr>
          <w:ilvl w:val="0"/>
          <w:numId w:val="14"/>
        </w:numPr>
        <w:tabs>
          <w:tab w:val="left" w:pos="142"/>
        </w:tabs>
      </w:pPr>
      <w:r w:rsidRPr="00BC1D0E">
        <w:t>udio po kategorijama razine rizika u ukupnom broju rizika,</w:t>
      </w:r>
    </w:p>
    <w:p w14:paraId="2B7A3DC4" w14:textId="77777777" w:rsidR="00BC1D0E" w:rsidRPr="00BC1D0E" w:rsidRDefault="00BC1D0E" w:rsidP="00E16604">
      <w:pPr>
        <w:pStyle w:val="ListParagraph"/>
        <w:numPr>
          <w:ilvl w:val="0"/>
          <w:numId w:val="14"/>
        </w:numPr>
        <w:tabs>
          <w:tab w:val="left" w:pos="142"/>
        </w:tabs>
      </w:pPr>
      <w:r w:rsidRPr="00BC1D0E">
        <w:t>broj rizika po kategorijama prijetnji,</w:t>
      </w:r>
    </w:p>
    <w:p w14:paraId="0BA05B74" w14:textId="77777777" w:rsidR="00BC1D0E" w:rsidRPr="00BC1D0E" w:rsidRDefault="00BC1D0E" w:rsidP="00E16604">
      <w:pPr>
        <w:pStyle w:val="ListParagraph"/>
        <w:numPr>
          <w:ilvl w:val="0"/>
          <w:numId w:val="14"/>
        </w:numPr>
        <w:tabs>
          <w:tab w:val="left" w:pos="142"/>
        </w:tabs>
      </w:pPr>
      <w:r w:rsidRPr="00BC1D0E">
        <w:t>najčešćih 10 prijetnji prema veličini rizika,</w:t>
      </w:r>
    </w:p>
    <w:p w14:paraId="21E11D0D" w14:textId="77777777" w:rsidR="00BC1D0E" w:rsidRPr="00BC1D0E" w:rsidRDefault="00BC1D0E" w:rsidP="00E16604">
      <w:pPr>
        <w:pStyle w:val="ListParagraph"/>
        <w:numPr>
          <w:ilvl w:val="0"/>
          <w:numId w:val="14"/>
        </w:numPr>
        <w:tabs>
          <w:tab w:val="left" w:pos="142"/>
        </w:tabs>
      </w:pPr>
      <w:r w:rsidRPr="00BC1D0E">
        <w:t>najčešćih 10 ranjivosti prema veličini rizika,</w:t>
      </w:r>
    </w:p>
    <w:p w14:paraId="54244022" w14:textId="77777777" w:rsidR="00BC1D0E" w:rsidRPr="00BC1D0E" w:rsidRDefault="00BC1D0E" w:rsidP="00E16604">
      <w:pPr>
        <w:pStyle w:val="ListParagraph"/>
        <w:numPr>
          <w:ilvl w:val="0"/>
          <w:numId w:val="14"/>
        </w:numPr>
        <w:tabs>
          <w:tab w:val="left" w:pos="142"/>
        </w:tabs>
      </w:pPr>
      <w:r w:rsidRPr="00BC1D0E">
        <w:t>najizloženija imovina prema veličini rizika,</w:t>
      </w:r>
    </w:p>
    <w:p w14:paraId="0DBD2BFA" w14:textId="77777777" w:rsidR="00BC1D0E" w:rsidRPr="00BC1D0E" w:rsidRDefault="00BC1D0E" w:rsidP="00E16604">
      <w:pPr>
        <w:pStyle w:val="ListParagraph"/>
        <w:numPr>
          <w:ilvl w:val="0"/>
          <w:numId w:val="14"/>
        </w:numPr>
        <w:tabs>
          <w:tab w:val="left" w:pos="142"/>
        </w:tabs>
      </w:pPr>
      <w:r w:rsidRPr="00BC1D0E">
        <w:t>broj visokih i ekstremnih rizika po obilježjima.</w:t>
      </w:r>
    </w:p>
    <w:p w14:paraId="2D4CBE35" w14:textId="77777777" w:rsidR="00BC1D0E" w:rsidRPr="0035543F" w:rsidRDefault="00BC1D0E" w:rsidP="00BC1D0E">
      <w:r w:rsidRPr="0035543F">
        <w:t xml:space="preserve">Nakon toga, obrada rizika se radi na način da se prvo utvrde opcije tretiranja </w:t>
      </w:r>
      <w:r w:rsidRPr="0035543F">
        <w:rPr>
          <w:b/>
        </w:rPr>
        <w:t xml:space="preserve">za svaki rizik procijenjen kao Visok ili </w:t>
      </w:r>
      <w:r>
        <w:rPr>
          <w:b/>
        </w:rPr>
        <w:t>Ekstreman</w:t>
      </w:r>
      <w:r w:rsidRPr="0035543F">
        <w:t xml:space="preserve">. Mjere tretmana rizika odabiru se u skladu sa mogućim utjecajem, odnosnom potencijalnom štetom koja može nastati realizacijom rizičnog događaja, odnosno za sve visoke </w:t>
      </w:r>
      <w:r>
        <w:t xml:space="preserve">i ekstremne </w:t>
      </w:r>
      <w:r w:rsidRPr="0035543F">
        <w:t>rizike potrebno je proanalizirati utjecaje pojedinih rizika na izvedbu dnevnih operacija te utjecaja na cjelokupno poslovanje. Na temelju ranjivosti i njihove prisutnosti u pojedinim IT servisima određuju se uzroci pojavljivanja rizika čime će se omogućiti učinkovito i usmjereno preventivno djelovanje.</w:t>
      </w:r>
    </w:p>
    <w:p w14:paraId="7429CD6B"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64" w:name="_Toc242259724"/>
      <w:bookmarkStart w:id="65" w:name="_Toc258508795"/>
      <w:bookmarkStart w:id="66" w:name="_Toc441658299"/>
      <w:bookmarkStart w:id="67" w:name="_Toc477873690"/>
      <w:r>
        <w:t xml:space="preserve">Odabir opcija za </w:t>
      </w:r>
      <w:r w:rsidRPr="00D15728">
        <w:t>obradu</w:t>
      </w:r>
      <w:r>
        <w:t xml:space="preserve"> rizika</w:t>
      </w:r>
      <w:bookmarkEnd w:id="64"/>
      <w:bookmarkEnd w:id="65"/>
      <w:bookmarkEnd w:id="66"/>
      <w:bookmarkEnd w:id="67"/>
    </w:p>
    <w:p w14:paraId="02BA7DBB" w14:textId="77777777" w:rsidR="00BC1D0E" w:rsidRPr="00BC1D0E" w:rsidRDefault="00BC1D0E" w:rsidP="00BC1D0E">
      <w:r w:rsidRPr="0035543F">
        <w:t xml:space="preserve">Procijenjene rizike moraju se adekvatno obraditi. U tu svrhu tim za obradu rizika će za svaki rizik </w:t>
      </w:r>
      <w:r w:rsidRPr="00BC1D0E">
        <w:t>odabrati jednu od slijedećih opcija:</w:t>
      </w:r>
    </w:p>
    <w:p w14:paraId="1B889702" w14:textId="62805559" w:rsidR="00BC1D0E" w:rsidRPr="00BC1D0E" w:rsidRDefault="00BC1D0E" w:rsidP="00D71059">
      <w:pPr>
        <w:pStyle w:val="ListParagraph"/>
        <w:numPr>
          <w:ilvl w:val="0"/>
          <w:numId w:val="19"/>
        </w:numPr>
        <w:tabs>
          <w:tab w:val="left" w:pos="142"/>
        </w:tabs>
      </w:pPr>
      <w:r w:rsidRPr="00BC1D0E">
        <w:t>Ograničavanje (mitigacija) rizika</w:t>
      </w:r>
      <w:r w:rsidR="00152438">
        <w:t xml:space="preserve"> </w:t>
      </w:r>
      <w:r w:rsidR="00BC3286">
        <w:t xml:space="preserve">-  </w:t>
      </w:r>
      <w:r w:rsidRPr="00BC1D0E">
        <w:t>Provođenje mjera (npr. primjenom preventivnih i detekcijskih kontrola ISO 27001 norme) kojima se smanjuje potencijalni negativni utjecaj na prihvatljivu razinu ili se smanjuje vjerojatnost ostvarivanja prijetnji.</w:t>
      </w:r>
    </w:p>
    <w:p w14:paraId="7F1C224E" w14:textId="574113F9" w:rsidR="00BC1D0E" w:rsidRPr="00BC1D0E" w:rsidRDefault="00BC1D0E" w:rsidP="00F84BB4">
      <w:pPr>
        <w:pStyle w:val="ListParagraph"/>
        <w:numPr>
          <w:ilvl w:val="0"/>
          <w:numId w:val="19"/>
        </w:numPr>
        <w:tabs>
          <w:tab w:val="left" w:pos="142"/>
        </w:tabs>
      </w:pPr>
      <w:r w:rsidRPr="00BC1D0E">
        <w:t>Izbjegavanje rizika</w:t>
      </w:r>
      <w:r w:rsidR="00BC3286">
        <w:t xml:space="preserve"> -</w:t>
      </w:r>
      <w:r w:rsidR="00BC3286" w:rsidRPr="00BC3286">
        <w:t xml:space="preserve"> </w:t>
      </w:r>
      <w:r w:rsidRPr="00BC1D0E">
        <w:t>Uklanjanje uzroka rizika i/ili posljedica (npr. odričući se određenih funkcija sustava ili prestankom korištenja sustava kad su rizici otkriveni).</w:t>
      </w:r>
    </w:p>
    <w:p w14:paraId="0BCF144D" w14:textId="13481675" w:rsidR="00BC1D0E" w:rsidRPr="00BC1D0E" w:rsidRDefault="00BC1D0E" w:rsidP="00F45781">
      <w:pPr>
        <w:pStyle w:val="ListParagraph"/>
        <w:numPr>
          <w:ilvl w:val="0"/>
          <w:numId w:val="19"/>
        </w:numPr>
        <w:tabs>
          <w:tab w:val="left" w:pos="142"/>
        </w:tabs>
      </w:pPr>
      <w:r w:rsidRPr="00BC1D0E">
        <w:t>Prenošenje rizika</w:t>
      </w:r>
      <w:r w:rsidR="00BC3286">
        <w:t xml:space="preserve"> - </w:t>
      </w:r>
      <w:r w:rsidRPr="00BC1D0E">
        <w:t>Osiguravanje naknada štete (npr. ugovaranjem osiguranja).</w:t>
      </w:r>
    </w:p>
    <w:p w14:paraId="215A532C" w14:textId="34BB8572" w:rsidR="00BC1D0E" w:rsidRPr="0035543F" w:rsidRDefault="00BC1D0E" w:rsidP="003E51F8">
      <w:pPr>
        <w:pStyle w:val="ListParagraph"/>
        <w:numPr>
          <w:ilvl w:val="0"/>
          <w:numId w:val="19"/>
        </w:numPr>
        <w:tabs>
          <w:tab w:val="left" w:pos="142"/>
        </w:tabs>
      </w:pPr>
      <w:r w:rsidRPr="00BC1D0E">
        <w:t>Prihvaćanje rizika</w:t>
      </w:r>
      <w:r w:rsidR="00BC3286">
        <w:t xml:space="preserve"> - </w:t>
      </w:r>
      <w:r w:rsidRPr="0035543F">
        <w:t xml:space="preserve">Rizik je dovoljno mali da ga </w:t>
      </w:r>
      <w:r w:rsidR="008928CD">
        <w:t xml:space="preserve">Društvo </w:t>
      </w:r>
      <w:r w:rsidRPr="0035543F">
        <w:t xml:space="preserve">kao takvog može prihvatiti te se kao takav </w:t>
      </w:r>
      <w:r w:rsidRPr="00BC3286">
        <w:rPr>
          <w:b/>
        </w:rPr>
        <w:t>ne tretira</w:t>
      </w:r>
      <w:r w:rsidRPr="0035543F">
        <w:t xml:space="preserve"> sigurnosnim mjerama i kontrolama. Svi rizici informacijske sigurnosti razine </w:t>
      </w:r>
      <w:r w:rsidRPr="00BC3286">
        <w:rPr>
          <w:b/>
        </w:rPr>
        <w:t>niski</w:t>
      </w:r>
      <w:r w:rsidRPr="0035543F">
        <w:t xml:space="preserve"> i </w:t>
      </w:r>
      <w:r w:rsidRPr="00BC3286">
        <w:rPr>
          <w:b/>
        </w:rPr>
        <w:t>srednji</w:t>
      </w:r>
      <w:r w:rsidRPr="0035543F">
        <w:t xml:space="preserve"> se prihvaćaju.</w:t>
      </w:r>
    </w:p>
    <w:p w14:paraId="21358B7D" w14:textId="77777777" w:rsidR="00BC1D0E" w:rsidRPr="0035543F" w:rsidRDefault="00BC1D0E" w:rsidP="00BC1D0E">
      <w:r w:rsidRPr="0035543F">
        <w:lastRenderedPageBreak/>
        <w:t>Uz odabir opcija, tim će predložiti i sigurnosne kontrole i mjere koje bi trebale kombinirati upravljačke, logičke i fizičke elemente, te procjenu rezidualnog rizika ukoliko se mjere implementiraju.</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7D9D386D" w14:textId="77777777" w:rsidTr="00BC1D0E">
        <w:tc>
          <w:tcPr>
            <w:tcW w:w="3794" w:type="dxa"/>
            <w:shd w:val="clear" w:color="auto" w:fill="FFFFFF" w:themeFill="background1"/>
          </w:tcPr>
          <w:p w14:paraId="1E34FF59" w14:textId="77777777" w:rsidR="00BC1D0E" w:rsidRPr="00BC1D0E" w:rsidRDefault="00BC1D0E" w:rsidP="006D2A8C">
            <w:r w:rsidRPr="00BC1D0E">
              <w:t>Ulazi:</w:t>
            </w:r>
          </w:p>
        </w:tc>
        <w:tc>
          <w:tcPr>
            <w:tcW w:w="1417" w:type="dxa"/>
            <w:shd w:val="clear" w:color="auto" w:fill="FFFFFF" w:themeFill="background1"/>
          </w:tcPr>
          <w:p w14:paraId="7234B100" w14:textId="77777777" w:rsidR="00BC1D0E" w:rsidRPr="00BC1D0E" w:rsidRDefault="00BC1D0E" w:rsidP="006D2A8C">
            <w:r w:rsidRPr="00BC1D0E">
              <w:rPr>
                <w:noProof/>
              </w:rPr>
              <mc:AlternateContent>
                <mc:Choice Requires="wps">
                  <w:drawing>
                    <wp:anchor distT="0" distB="0" distL="114300" distR="114300" simplePos="0" relativeHeight="251669504" behindDoc="0" locked="0" layoutInCell="1" allowOverlap="1" wp14:anchorId="74870328" wp14:editId="135D9DFB">
                      <wp:simplePos x="0" y="0"/>
                      <wp:positionH relativeFrom="column">
                        <wp:posOffset>-5080</wp:posOffset>
                      </wp:positionH>
                      <wp:positionV relativeFrom="paragraph">
                        <wp:posOffset>207645</wp:posOffset>
                      </wp:positionV>
                      <wp:extent cx="727710" cy="406400"/>
                      <wp:effectExtent l="0" t="12700" r="21590" b="25400"/>
                      <wp:wrapNone/>
                      <wp:docPr id="11" name="Right Arrow 11"/>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71EA08" id="Right Arrow 11" o:spid="_x0000_s1026" type="#_x0000_t13" style="position:absolute;margin-left:-.4pt;margin-top:16.35pt;width:57.3pt;height: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upDDF4AAA&#13;&#10;AAwBAAAPAAAAAAAAAAAAAAAAANQEAABkcnMvZG93bnJldi54bWxQSwUGAAAAAAQABADzAAAA4QUA&#13;&#10;AAAA&#13;&#10;" adj="15569" fillcolor="#0d5435" strokecolor="#1f3763 [1604]" strokeweight="1pt"/>
                  </w:pict>
                </mc:Fallback>
              </mc:AlternateContent>
            </w:r>
          </w:p>
        </w:tc>
        <w:tc>
          <w:tcPr>
            <w:tcW w:w="3856" w:type="dxa"/>
            <w:shd w:val="clear" w:color="auto" w:fill="FFFFFF" w:themeFill="background1"/>
          </w:tcPr>
          <w:p w14:paraId="6A774BA0" w14:textId="77777777" w:rsidR="00BC1D0E" w:rsidRPr="00BC1D0E" w:rsidRDefault="00BC1D0E" w:rsidP="006D2A8C">
            <w:r w:rsidRPr="00BC1D0E">
              <w:t>Izlazi:</w:t>
            </w:r>
          </w:p>
        </w:tc>
      </w:tr>
      <w:tr w:rsidR="00BC1D0E" w:rsidRPr="00BC1D0E" w14:paraId="56973808" w14:textId="77777777" w:rsidTr="00BC1D0E">
        <w:tc>
          <w:tcPr>
            <w:tcW w:w="3794" w:type="dxa"/>
          </w:tcPr>
          <w:p w14:paraId="138A9EBE"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27B6F78D" w14:textId="387326DA" w:rsidR="00BC1D0E" w:rsidRPr="00BC1D0E" w:rsidRDefault="00BC1D0E" w:rsidP="00B9205F">
            <w:pPr>
              <w:pStyle w:val="ListParagraph"/>
              <w:numPr>
                <w:ilvl w:val="0"/>
                <w:numId w:val="12"/>
              </w:numPr>
              <w:tabs>
                <w:tab w:val="left" w:pos="142"/>
              </w:tabs>
              <w:jc w:val="left"/>
            </w:pPr>
            <w:r w:rsidRPr="00BC1D0E">
              <w:t>Katalog rizika</w:t>
            </w:r>
          </w:p>
        </w:tc>
        <w:tc>
          <w:tcPr>
            <w:tcW w:w="1417" w:type="dxa"/>
          </w:tcPr>
          <w:p w14:paraId="3143A3A1" w14:textId="77777777" w:rsidR="00BC1D0E" w:rsidRPr="00BC1D0E" w:rsidRDefault="00BC1D0E" w:rsidP="006D2A8C"/>
        </w:tc>
        <w:tc>
          <w:tcPr>
            <w:tcW w:w="3856" w:type="dxa"/>
          </w:tcPr>
          <w:p w14:paraId="0AE9354D" w14:textId="77777777" w:rsidR="00BC1D0E" w:rsidRPr="00BC1D0E" w:rsidRDefault="00BC1D0E" w:rsidP="00E16604">
            <w:pPr>
              <w:pStyle w:val="ListParagraph"/>
              <w:numPr>
                <w:ilvl w:val="0"/>
                <w:numId w:val="15"/>
              </w:numPr>
              <w:tabs>
                <w:tab w:val="left" w:pos="142"/>
              </w:tabs>
              <w:jc w:val="left"/>
            </w:pPr>
            <w:r w:rsidRPr="00BC1D0E">
              <w:t>Izvješće o procjeni rizika</w:t>
            </w:r>
          </w:p>
          <w:p w14:paraId="2FAE8E56" w14:textId="77777777" w:rsidR="00BC1D0E" w:rsidRPr="00BC1D0E" w:rsidRDefault="00BC1D0E" w:rsidP="006D2A8C"/>
        </w:tc>
      </w:tr>
    </w:tbl>
    <w:p w14:paraId="6F5AF6D5"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68" w:name="_Toc242259725"/>
      <w:bookmarkStart w:id="69" w:name="_Toc258508796"/>
      <w:bookmarkStart w:id="70" w:name="_Toc441658300"/>
      <w:bookmarkStart w:id="71" w:name="_Toc477873691"/>
      <w:r>
        <w:t>Izrada plana obrade rizika</w:t>
      </w:r>
      <w:bookmarkEnd w:id="68"/>
      <w:bookmarkEnd w:id="69"/>
      <w:bookmarkEnd w:id="70"/>
      <w:bookmarkEnd w:id="71"/>
    </w:p>
    <w:p w14:paraId="0FBC29D1" w14:textId="77777777" w:rsidR="00BC1D0E" w:rsidRPr="0035543F" w:rsidRDefault="00BC1D0E" w:rsidP="00BC1D0E">
      <w:r w:rsidRPr="0035543F">
        <w:t xml:space="preserve">Nakon što su predložene opcije za obradu rizika, nužno je za one rizike za koje je odabrana opcija ograničavanja rizika napraviti plan obrade rizika putem implementacije predloženih sigurnosnih kontrola ISO 27001 norme. Odabir sigurnosnih kontrola mora se temeljiti na analizi isplativosti mjera koje se mogu izraziti kvalitativno ili kvantitativno. </w:t>
      </w:r>
    </w:p>
    <w:p w14:paraId="409CF8A3" w14:textId="77777777" w:rsidR="00BC1D0E" w:rsidRPr="0035543F" w:rsidRDefault="00BC1D0E" w:rsidP="00BC1D0E">
      <w:r w:rsidRPr="0035543F">
        <w:t>Rezultat ove faze je Plan obrade rizika. On ne sadrži već pokrenute projekte implementacije (osim onih dugoročnih) koji djeluju na ograničavanje rizika jer su oni već uračunati u sigurnosne mjere prilikom vrednovanja vjerojatnosti ostvarivanja prijetnji i potencijalnog utjecaja na poslovanje.</w:t>
      </w:r>
    </w:p>
    <w:p w14:paraId="60FB6A84" w14:textId="77777777" w:rsidR="00BC1D0E" w:rsidRPr="0035543F" w:rsidRDefault="00BC1D0E" w:rsidP="00BC1D0E">
      <w:r w:rsidRPr="0035543F">
        <w:t>Plan obrade rizika mora obavezno sadržavati:</w:t>
      </w:r>
    </w:p>
    <w:p w14:paraId="283239F9" w14:textId="77777777" w:rsidR="00BC1D0E" w:rsidRPr="00BC1D0E" w:rsidRDefault="00BC1D0E" w:rsidP="00E16604">
      <w:pPr>
        <w:pStyle w:val="ListParagraph"/>
        <w:numPr>
          <w:ilvl w:val="0"/>
          <w:numId w:val="13"/>
        </w:numPr>
        <w:tabs>
          <w:tab w:val="left" w:pos="142"/>
        </w:tabs>
      </w:pPr>
      <w:r w:rsidRPr="00BC1D0E">
        <w:t>podatke o riziku (veličina, imovina, prijetnja, ranjivost i postojeće sigurnosne mjere),</w:t>
      </w:r>
    </w:p>
    <w:p w14:paraId="29E6CE24" w14:textId="77777777" w:rsidR="00BC1D0E" w:rsidRPr="00BC1D0E" w:rsidRDefault="00BC1D0E" w:rsidP="00E16604">
      <w:pPr>
        <w:pStyle w:val="ListParagraph"/>
        <w:numPr>
          <w:ilvl w:val="0"/>
          <w:numId w:val="13"/>
        </w:numPr>
        <w:tabs>
          <w:tab w:val="left" w:pos="142"/>
        </w:tabs>
      </w:pPr>
      <w:r w:rsidRPr="00BC1D0E">
        <w:t>ocjenu prioriteta (nije nužno da prati veličinu rizika),</w:t>
      </w:r>
    </w:p>
    <w:p w14:paraId="167EF5E6" w14:textId="77777777" w:rsidR="00BC1D0E" w:rsidRPr="00BC1D0E" w:rsidRDefault="00BC1D0E" w:rsidP="00E16604">
      <w:pPr>
        <w:pStyle w:val="ListParagraph"/>
        <w:numPr>
          <w:ilvl w:val="0"/>
          <w:numId w:val="13"/>
        </w:numPr>
        <w:tabs>
          <w:tab w:val="left" w:pos="142"/>
        </w:tabs>
      </w:pPr>
      <w:r w:rsidRPr="00BC1D0E">
        <w:t>odabrane sigurnosne kontrole ISO 27001 norme,</w:t>
      </w:r>
    </w:p>
    <w:p w14:paraId="1FAC4296" w14:textId="77777777" w:rsidR="00BC1D0E" w:rsidRPr="00BC1D0E" w:rsidRDefault="00BC1D0E" w:rsidP="00E16604">
      <w:pPr>
        <w:pStyle w:val="ListParagraph"/>
        <w:numPr>
          <w:ilvl w:val="0"/>
          <w:numId w:val="13"/>
        </w:numPr>
        <w:tabs>
          <w:tab w:val="left" w:pos="142"/>
        </w:tabs>
      </w:pPr>
      <w:r w:rsidRPr="00BC1D0E">
        <w:t xml:space="preserve">osobe/funkcije odgovorne za implementaciju sigurnosnih kontrola i </w:t>
      </w:r>
    </w:p>
    <w:p w14:paraId="2E8339A7" w14:textId="77777777" w:rsidR="00BC1D0E" w:rsidRPr="00BC1D0E" w:rsidRDefault="00BC1D0E" w:rsidP="00E16604">
      <w:pPr>
        <w:pStyle w:val="ListParagraph"/>
        <w:numPr>
          <w:ilvl w:val="0"/>
          <w:numId w:val="13"/>
        </w:numPr>
        <w:tabs>
          <w:tab w:val="left" w:pos="142"/>
        </w:tabs>
      </w:pPr>
      <w:r w:rsidRPr="00BC1D0E">
        <w:t>rokove za implementaciju (datume početka i završetka provedbe aktivnosti).</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D3E446A" w14:textId="77777777" w:rsidTr="00BC1D0E">
        <w:tc>
          <w:tcPr>
            <w:tcW w:w="3794" w:type="dxa"/>
            <w:shd w:val="clear" w:color="auto" w:fill="FFFFFF" w:themeFill="background1"/>
          </w:tcPr>
          <w:p w14:paraId="0242A4CB" w14:textId="77777777" w:rsidR="00BC1D0E" w:rsidRPr="00BC1D0E" w:rsidRDefault="00BC1D0E" w:rsidP="006D2A8C">
            <w:r w:rsidRPr="00BC1D0E">
              <w:t>Ulazi:</w:t>
            </w:r>
          </w:p>
        </w:tc>
        <w:tc>
          <w:tcPr>
            <w:tcW w:w="1417" w:type="dxa"/>
            <w:shd w:val="clear" w:color="auto" w:fill="FFFFFF" w:themeFill="background1"/>
          </w:tcPr>
          <w:p w14:paraId="51B8B35F" w14:textId="77777777" w:rsidR="00BC1D0E" w:rsidRPr="00BC1D0E" w:rsidRDefault="00BC1D0E" w:rsidP="006D2A8C">
            <w:r w:rsidRPr="00BC1D0E">
              <w:rPr>
                <w:noProof/>
              </w:rPr>
              <mc:AlternateContent>
                <mc:Choice Requires="wps">
                  <w:drawing>
                    <wp:anchor distT="0" distB="0" distL="114300" distR="114300" simplePos="0" relativeHeight="251667456" behindDoc="0" locked="0" layoutInCell="1" allowOverlap="1" wp14:anchorId="2B93F81E" wp14:editId="28BBFCCA">
                      <wp:simplePos x="0" y="0"/>
                      <wp:positionH relativeFrom="column">
                        <wp:posOffset>-5080</wp:posOffset>
                      </wp:positionH>
                      <wp:positionV relativeFrom="paragraph">
                        <wp:posOffset>207373</wp:posOffset>
                      </wp:positionV>
                      <wp:extent cx="727710" cy="406400"/>
                      <wp:effectExtent l="0" t="12700" r="21590" b="25400"/>
                      <wp:wrapNone/>
                      <wp:docPr id="12" name="Right Arrow 12"/>
                      <wp:cNvGraphicFramePr/>
                      <a:graphic xmlns:a="http://schemas.openxmlformats.org/drawingml/2006/main">
                        <a:graphicData uri="http://schemas.microsoft.com/office/word/2010/wordprocessingShape">
                          <wps:wsp>
                            <wps:cNvSpPr/>
                            <wps:spPr>
                              <a:xfrm>
                                <a:off x="0" y="0"/>
                                <a:ext cx="727710" cy="406400"/>
                              </a:xfrm>
                              <a:prstGeom prst="rightArrow">
                                <a:avLst/>
                              </a:prstGeom>
                              <a:solidFill>
                                <a:srgbClr val="0D543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C94F66" id="Right Arrow 12" o:spid="_x0000_s1026" type="#_x0000_t13" style="position:absolute;margin-left:-.4pt;margin-top:16.35pt;width:57.3pt;height: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" adj="15569" fillcolor="#0d5435" strokecolor="#1f3763 [1604]" strokeweight="1pt"/>
                  </w:pict>
                </mc:Fallback>
              </mc:AlternateContent>
            </w:r>
          </w:p>
        </w:tc>
        <w:tc>
          <w:tcPr>
            <w:tcW w:w="3856" w:type="dxa"/>
            <w:shd w:val="clear" w:color="auto" w:fill="FFFFFF" w:themeFill="background1"/>
          </w:tcPr>
          <w:p w14:paraId="35C62320" w14:textId="77777777" w:rsidR="00BC1D0E" w:rsidRPr="00BC1D0E" w:rsidRDefault="00BC1D0E" w:rsidP="006D2A8C">
            <w:r w:rsidRPr="00BC1D0E">
              <w:t>Izlazi:</w:t>
            </w:r>
          </w:p>
        </w:tc>
      </w:tr>
      <w:tr w:rsidR="00BC1D0E" w:rsidRPr="00BC1D0E" w14:paraId="36FB7BA2" w14:textId="77777777" w:rsidTr="00BC1D0E">
        <w:tc>
          <w:tcPr>
            <w:tcW w:w="3794" w:type="dxa"/>
          </w:tcPr>
          <w:p w14:paraId="28D35C6B" w14:textId="77777777" w:rsidR="00BC1D0E" w:rsidRPr="00BC1D0E" w:rsidRDefault="00BC1D0E" w:rsidP="00E16604">
            <w:pPr>
              <w:pStyle w:val="ListParagraph"/>
              <w:numPr>
                <w:ilvl w:val="0"/>
                <w:numId w:val="12"/>
              </w:numPr>
              <w:tabs>
                <w:tab w:val="left" w:pos="142"/>
              </w:tabs>
              <w:jc w:val="left"/>
            </w:pPr>
            <w:r w:rsidRPr="00BC1D0E">
              <w:t>Izvješće o procjeni rizika</w:t>
            </w:r>
          </w:p>
          <w:p w14:paraId="780670D5" w14:textId="628B3831" w:rsidR="00BC1D0E" w:rsidRPr="00BC1D0E" w:rsidRDefault="00BC1D0E" w:rsidP="00B9205F">
            <w:pPr>
              <w:pStyle w:val="ListParagraph"/>
              <w:numPr>
                <w:ilvl w:val="0"/>
                <w:numId w:val="12"/>
              </w:numPr>
              <w:tabs>
                <w:tab w:val="left" w:pos="142"/>
              </w:tabs>
              <w:jc w:val="left"/>
            </w:pPr>
            <w:r w:rsidRPr="00BC1D0E">
              <w:t>Katalog rizika</w:t>
            </w:r>
          </w:p>
        </w:tc>
        <w:tc>
          <w:tcPr>
            <w:tcW w:w="1417" w:type="dxa"/>
          </w:tcPr>
          <w:p w14:paraId="2A239F67" w14:textId="77777777" w:rsidR="00BC1D0E" w:rsidRPr="00BC1D0E" w:rsidRDefault="00BC1D0E" w:rsidP="006D2A8C"/>
        </w:tc>
        <w:tc>
          <w:tcPr>
            <w:tcW w:w="3856" w:type="dxa"/>
          </w:tcPr>
          <w:p w14:paraId="33A70E5B" w14:textId="77777777" w:rsidR="00BC1D0E" w:rsidRPr="00BC1D0E" w:rsidRDefault="00BC1D0E" w:rsidP="00E16604">
            <w:pPr>
              <w:pStyle w:val="ListParagraph"/>
              <w:numPr>
                <w:ilvl w:val="0"/>
                <w:numId w:val="16"/>
              </w:numPr>
              <w:tabs>
                <w:tab w:val="left" w:pos="142"/>
              </w:tabs>
              <w:jc w:val="left"/>
            </w:pPr>
            <w:r w:rsidRPr="00BC1D0E">
              <w:t>Plan obrade rizika</w:t>
            </w:r>
          </w:p>
          <w:p w14:paraId="2ADE8E07" w14:textId="77777777" w:rsidR="00BC1D0E" w:rsidRPr="00BC1D0E" w:rsidRDefault="00BC1D0E" w:rsidP="006D2A8C"/>
        </w:tc>
      </w:tr>
    </w:tbl>
    <w:p w14:paraId="147B6CEA" w14:textId="77777777" w:rsidR="00BC1D0E" w:rsidRPr="00BC1D0E" w:rsidRDefault="00BC1D0E" w:rsidP="00BC1D0E">
      <w:pPr>
        <w:pStyle w:val="Heading1"/>
      </w:pPr>
      <w:bookmarkStart w:id="72" w:name="_Toc432665374"/>
      <w:bookmarkStart w:id="73" w:name="_Toc441658301"/>
      <w:bookmarkStart w:id="74" w:name="_Toc477873692"/>
      <w:r w:rsidRPr="00BC1D0E">
        <w:t>Upravljanje rizicima informacijske sigurnosti u projektima</w:t>
      </w:r>
      <w:bookmarkEnd w:id="72"/>
      <w:bookmarkEnd w:id="73"/>
      <w:bookmarkEnd w:id="74"/>
    </w:p>
    <w:p w14:paraId="5E0E177C" w14:textId="77777777" w:rsidR="00BC1D0E" w:rsidRP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5" w:name="_Toc432665375"/>
      <w:bookmarkStart w:id="76" w:name="_Toc441658302"/>
      <w:bookmarkStart w:id="77" w:name="_Toc477873693"/>
      <w:r w:rsidRPr="00BC1D0E">
        <w:t>Projekti koji imaju utjecaj na informacijski sustav</w:t>
      </w:r>
      <w:bookmarkEnd w:id="75"/>
      <w:bookmarkEnd w:id="76"/>
      <w:bookmarkEnd w:id="77"/>
    </w:p>
    <w:p w14:paraId="5DA7DF04" w14:textId="4C2CC07D" w:rsidR="00BC1D0E" w:rsidRDefault="00BC1D0E" w:rsidP="00BC1D0E">
      <w:r>
        <w:t xml:space="preserve">Kako bi se osiguralo adekvatno upravljanje rizicima informacijske sigurnosti, informacijska sigurnost treba biti integrirana u proces upravljanja projektima ili aktivnostima koji imaju utjecaj na informacijski sustav </w:t>
      </w:r>
      <w:r w:rsidR="00B3065F">
        <w:t>Društva</w:t>
      </w:r>
      <w:r>
        <w:t xml:space="preserve">, bez obzira na karakter projekta/aktivnosti. </w:t>
      </w:r>
    </w:p>
    <w:p w14:paraId="0C2376AC" w14:textId="77777777" w:rsidR="00BC1D0E" w:rsidRDefault="00BC1D0E" w:rsidP="00BC1D0E">
      <w:r>
        <w:t xml:space="preserve">Takvi projekti su npr. </w:t>
      </w:r>
    </w:p>
    <w:p w14:paraId="478C4C45" w14:textId="77777777" w:rsidR="00BC1D0E" w:rsidRPr="00BC1D0E" w:rsidRDefault="00BC1D0E" w:rsidP="00E16604">
      <w:pPr>
        <w:pStyle w:val="ListParagraph"/>
        <w:numPr>
          <w:ilvl w:val="0"/>
          <w:numId w:val="17"/>
        </w:numPr>
        <w:tabs>
          <w:tab w:val="left" w:pos="142"/>
        </w:tabs>
      </w:pPr>
      <w:r w:rsidRPr="00BC1D0E">
        <w:t xml:space="preserve">nabava kritične IT opreme, </w:t>
      </w:r>
    </w:p>
    <w:p w14:paraId="6C56DE36" w14:textId="77777777" w:rsidR="00BC1D0E" w:rsidRPr="00BC1D0E" w:rsidRDefault="00BC1D0E" w:rsidP="00E16604">
      <w:pPr>
        <w:pStyle w:val="ListParagraph"/>
        <w:numPr>
          <w:ilvl w:val="0"/>
          <w:numId w:val="17"/>
        </w:numPr>
        <w:tabs>
          <w:tab w:val="left" w:pos="142"/>
        </w:tabs>
      </w:pPr>
      <w:r w:rsidRPr="00BC1D0E">
        <w:t xml:space="preserve">eksternalizacija usluga, </w:t>
      </w:r>
    </w:p>
    <w:p w14:paraId="5B97B414" w14:textId="77777777" w:rsidR="00BC1D0E" w:rsidRPr="00BC1D0E" w:rsidRDefault="00BC1D0E" w:rsidP="00E16604">
      <w:pPr>
        <w:pStyle w:val="ListParagraph"/>
        <w:numPr>
          <w:ilvl w:val="0"/>
          <w:numId w:val="17"/>
        </w:numPr>
        <w:tabs>
          <w:tab w:val="left" w:pos="142"/>
        </w:tabs>
      </w:pPr>
      <w:r w:rsidRPr="00BC1D0E">
        <w:t xml:space="preserve">migracija sustava i/ili podataka, </w:t>
      </w:r>
    </w:p>
    <w:p w14:paraId="65E443D9" w14:textId="77777777" w:rsidR="00BC1D0E" w:rsidRPr="00BC1D0E" w:rsidRDefault="00BC1D0E" w:rsidP="00E16604">
      <w:pPr>
        <w:pStyle w:val="ListParagraph"/>
        <w:numPr>
          <w:ilvl w:val="0"/>
          <w:numId w:val="17"/>
        </w:numPr>
        <w:tabs>
          <w:tab w:val="left" w:pos="142"/>
        </w:tabs>
      </w:pPr>
      <w:r w:rsidRPr="00BC1D0E">
        <w:t>unaprjeđivanje proizvoda, usluga i infrastrukture (implementacija novog podatkovnog sustava, uvođenje nove aplikacije i slično)</w:t>
      </w:r>
    </w:p>
    <w:p w14:paraId="010BBAD8" w14:textId="77777777" w:rsidR="00BC1D0E" w:rsidRPr="00BC1D0E" w:rsidRDefault="00BC1D0E" w:rsidP="00E16604">
      <w:pPr>
        <w:pStyle w:val="ListParagraph"/>
        <w:numPr>
          <w:ilvl w:val="0"/>
          <w:numId w:val="17"/>
        </w:numPr>
        <w:tabs>
          <w:tab w:val="left" w:pos="142"/>
        </w:tabs>
      </w:pPr>
      <w:r w:rsidRPr="00BC1D0E">
        <w:t>uspostava pričuvne lokacije za kontinuitet poslovanja,</w:t>
      </w:r>
    </w:p>
    <w:p w14:paraId="3A0BB03C" w14:textId="40D4EFCC" w:rsidR="00BC1D0E" w:rsidRPr="00BC1D0E" w:rsidRDefault="00BC1D0E" w:rsidP="00E16604">
      <w:pPr>
        <w:pStyle w:val="ListParagraph"/>
        <w:numPr>
          <w:ilvl w:val="0"/>
          <w:numId w:val="17"/>
        </w:numPr>
        <w:tabs>
          <w:tab w:val="left" w:pos="142"/>
        </w:tabs>
      </w:pPr>
      <w:r w:rsidRPr="00BC1D0E">
        <w:t xml:space="preserve">drugi projekti ili aktivnosti koje utječu na informacijski sustav </w:t>
      </w:r>
      <w:r w:rsidR="00B3065F">
        <w:t>Društva</w:t>
      </w:r>
      <w:r w:rsidRPr="00BC1D0E">
        <w:t>.</w:t>
      </w:r>
    </w:p>
    <w:p w14:paraId="6D74B760" w14:textId="77777777" w:rsidR="00BC1D0E" w:rsidRPr="00BC1D0E" w:rsidRDefault="00BC1D0E" w:rsidP="00BC1D0E">
      <w:r w:rsidRPr="00BC1D0E">
        <w:t>Metodologija upravljanja projektima treba zahtijevati da:</w:t>
      </w:r>
    </w:p>
    <w:p w14:paraId="31ABD16A" w14:textId="77777777" w:rsidR="00BC1D0E" w:rsidRPr="00BC1D0E" w:rsidRDefault="00BC1D0E" w:rsidP="00E16604">
      <w:pPr>
        <w:pStyle w:val="ListParagraph"/>
        <w:numPr>
          <w:ilvl w:val="0"/>
          <w:numId w:val="16"/>
        </w:numPr>
        <w:tabs>
          <w:tab w:val="left" w:pos="142"/>
        </w:tabs>
      </w:pPr>
      <w:r w:rsidRPr="00BC1D0E">
        <w:t>su ciljevi informacijske sigurnosti uključeni u ciljeve projekta;</w:t>
      </w:r>
    </w:p>
    <w:p w14:paraId="278DACF2" w14:textId="77777777" w:rsidR="00BC1D0E" w:rsidRPr="00BC1D0E" w:rsidRDefault="00BC1D0E" w:rsidP="00E16604">
      <w:pPr>
        <w:pStyle w:val="ListParagraph"/>
        <w:numPr>
          <w:ilvl w:val="0"/>
          <w:numId w:val="16"/>
        </w:numPr>
        <w:tabs>
          <w:tab w:val="left" w:pos="142"/>
        </w:tabs>
      </w:pPr>
      <w:r w:rsidRPr="00BC1D0E">
        <w:lastRenderedPageBreak/>
        <w:t>se procjena rizika informacijske sigurnosti provodi u ranoj fazi projekta kako bi se osigurale potrebne sigurnosne kontrole;</w:t>
      </w:r>
    </w:p>
    <w:p w14:paraId="013086CD" w14:textId="77777777" w:rsidR="00BC1D0E" w:rsidRPr="00BC1D0E" w:rsidRDefault="00BC1D0E" w:rsidP="00E16604">
      <w:pPr>
        <w:pStyle w:val="ListParagraph"/>
        <w:numPr>
          <w:ilvl w:val="0"/>
          <w:numId w:val="16"/>
        </w:numPr>
        <w:tabs>
          <w:tab w:val="left" w:pos="142"/>
        </w:tabs>
      </w:pPr>
      <w:r w:rsidRPr="00BC1D0E">
        <w:t>je informacijska sigurnost sastavni dio svih faza unutar upravljanja projekta.</w:t>
      </w:r>
    </w:p>
    <w:p w14:paraId="3DB01381" w14:textId="77777777" w:rsidR="00BC1D0E" w:rsidRDefault="00BC1D0E" w:rsidP="00BC1D0E">
      <w:r>
        <w:t xml:space="preserve">Potrebno je dodijeliti specifične uloge i odrediti odgovornosti za provedbu informacijske sigurnosti pri čemu treba uzeti u obzir potrebu za primjerenom segregacijom dužnosti. </w:t>
      </w:r>
    </w:p>
    <w:p w14:paraId="26E91C1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8" w:name="_Toc432665376"/>
      <w:bookmarkStart w:id="79" w:name="_Toc441658303"/>
      <w:bookmarkStart w:id="80" w:name="_Toc477873694"/>
      <w:r w:rsidRPr="00D15728">
        <w:t>Projekti</w:t>
      </w:r>
      <w:r>
        <w:t xml:space="preserve"> koji </w:t>
      </w:r>
      <w:r w:rsidRPr="008E3147">
        <w:t>nemaju</w:t>
      </w:r>
      <w:r>
        <w:t xml:space="preserve"> relevantan utjecaj na informacijski sustav</w:t>
      </w:r>
      <w:bookmarkEnd w:id="78"/>
      <w:bookmarkEnd w:id="79"/>
      <w:bookmarkEnd w:id="80"/>
    </w:p>
    <w:p w14:paraId="57E6CC88" w14:textId="5A252ECF" w:rsidR="00BC1D0E" w:rsidRDefault="00BC1D0E" w:rsidP="00BC1D0E">
      <w:r w:rsidRPr="00167865">
        <w:t>U procesu upravljanja projektima</w:t>
      </w:r>
      <w:r>
        <w:t xml:space="preserve"> ili aktivnostima</w:t>
      </w:r>
      <w:r w:rsidRPr="00167865">
        <w:t xml:space="preserve"> koji </w:t>
      </w:r>
      <w:r>
        <w:t xml:space="preserve">nemaju relevantan utjecaj na informacijski sustav </w:t>
      </w:r>
      <w:r w:rsidR="00B3065F">
        <w:t>Društva</w:t>
      </w:r>
      <w:r>
        <w:t xml:space="preserve">, </w:t>
      </w:r>
      <w:r w:rsidRPr="00167865">
        <w:t>nije potrebno upravljati rizicima informacijske sigurnosti.</w:t>
      </w:r>
    </w:p>
    <w:p w14:paraId="4C41701F" w14:textId="77777777" w:rsidR="00BC1D0E" w:rsidRPr="00CD3EC0" w:rsidRDefault="00BC1D0E" w:rsidP="00BC1D0E">
      <w:pPr>
        <w:pStyle w:val="Heading1"/>
      </w:pPr>
      <w:r w:rsidRPr="00CD3EC0">
        <w:t xml:space="preserve"> </w:t>
      </w:r>
      <w:bookmarkStart w:id="81" w:name="_Toc477873695"/>
      <w:r>
        <w:t>Prijelazne i završne odredbe</w:t>
      </w:r>
      <w:bookmarkEnd w:id="81"/>
    </w:p>
    <w:p w14:paraId="48DDE40A" w14:textId="4AF24CF5" w:rsidR="00BC1D0E" w:rsidRDefault="00BC1D0E" w:rsidP="00BC1D0E">
      <w:r>
        <w:t xml:space="preserve">Ova Odluka o metodologiji upravljanja rizicima u informacijskom sustavu </w:t>
      </w:r>
      <w:r w:rsidR="00B3065F">
        <w:t>Društva</w:t>
      </w:r>
      <w:r>
        <w:t xml:space="preserve"> stupa na snagu i primjenjuje se danom donošenja.</w:t>
      </w:r>
    </w:p>
    <w:p w14:paraId="03822B27" w14:textId="77777777" w:rsidR="00E6021A" w:rsidRDefault="00E6021A" w:rsidP="00796C20">
      <w:pPr>
        <w:ind w:left="6237" w:right="-2"/>
        <w:jc w:val="cen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B3065F" w14:paraId="10BA2932" w14:textId="77777777" w:rsidTr="00191166">
        <w:tc>
          <w:tcPr>
            <w:tcW w:w="4678" w:type="dxa"/>
          </w:tcPr>
          <w:p w14:paraId="25AFE1DB" w14:textId="77777777" w:rsidR="00B3065F" w:rsidRDefault="00B3065F" w:rsidP="005376BA">
            <w:pPr>
              <w:pStyle w:val="Default"/>
              <w:spacing w:after="120"/>
              <w:jc w:val="right"/>
              <w:rPr>
                <w:rFonts w:ascii="Cambria" w:hAnsi="Cambria" w:cs="Arial"/>
                <w:color w:val="auto"/>
                <w:sz w:val="22"/>
                <w:szCs w:val="22"/>
              </w:rPr>
            </w:pPr>
          </w:p>
        </w:tc>
        <w:tc>
          <w:tcPr>
            <w:tcW w:w="4384" w:type="dxa"/>
          </w:tcPr>
          <w:p w14:paraId="677864A6" w14:textId="3CAB9FCD" w:rsidR="00B3065F" w:rsidRDefault="001A6568" w:rsidP="005376BA">
            <w:pPr>
              <w:pStyle w:val="Default"/>
              <w:spacing w:after="120"/>
              <w:jc w:val="center"/>
              <w:rPr>
                <w:rFonts w:ascii="Cambria" w:hAnsi="Cambria" w:cs="Arial"/>
                <w:color w:val="auto"/>
                <w:sz w:val="22"/>
                <w:szCs w:val="22"/>
              </w:rPr>
            </w:pPr>
            <w:r>
              <w:rPr>
                <w:rFonts w:ascii="Cambria" w:hAnsi="Cambria" w:cs="Arial"/>
                <w:color w:val="auto"/>
                <w:sz w:val="22"/>
                <w:szCs w:val="22"/>
              </w:rPr>
              <w:t>DIREKTOR</w:t>
            </w:r>
          </w:p>
        </w:tc>
      </w:tr>
      <w:tr w:rsidR="00B3065F" w14:paraId="0FF88386" w14:textId="77777777" w:rsidTr="00191166">
        <w:tc>
          <w:tcPr>
            <w:tcW w:w="4678" w:type="dxa"/>
          </w:tcPr>
          <w:p w14:paraId="3A017C2A" w14:textId="77777777" w:rsidR="00B3065F" w:rsidRDefault="00B3065F" w:rsidP="005376BA">
            <w:pPr>
              <w:pStyle w:val="Default"/>
              <w:spacing w:after="120"/>
              <w:jc w:val="right"/>
              <w:rPr>
                <w:rFonts w:ascii="Cambria" w:hAnsi="Cambria" w:cs="Arial"/>
                <w:color w:val="auto"/>
                <w:sz w:val="22"/>
                <w:szCs w:val="22"/>
              </w:rPr>
            </w:pPr>
          </w:p>
          <w:p w14:paraId="50CB246D" w14:textId="77777777" w:rsidR="00191166" w:rsidRDefault="00191166"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C414B75" w14:textId="6E9C1279" w:rsidR="00B3065F" w:rsidRDefault="00191166" w:rsidP="005376BA">
            <w:pPr>
              <w:pStyle w:val="Default"/>
              <w:spacing w:after="120"/>
              <w:jc w:val="center"/>
              <w:rPr>
                <w:rFonts w:ascii="Cambria" w:hAnsi="Cambria" w:cs="Arial"/>
                <w:color w:val="auto"/>
                <w:sz w:val="22"/>
                <w:szCs w:val="22"/>
              </w:rPr>
            </w:pPr>
            <w:r>
              <w:rPr>
                <w:rFonts w:ascii="Cambria" w:hAnsi="Cambria"/>
                <w:noProof/>
              </w:rPr>
              <w:drawing>
                <wp:anchor distT="0" distB="0" distL="114300" distR="114300" simplePos="0" relativeHeight="251670528" behindDoc="0" locked="0" layoutInCell="1" allowOverlap="1" wp14:anchorId="747DA62A" wp14:editId="20672EDD">
                  <wp:simplePos x="0" y="0"/>
                  <wp:positionH relativeFrom="column">
                    <wp:posOffset>802839</wp:posOffset>
                  </wp:positionH>
                  <wp:positionV relativeFrom="paragraph">
                    <wp:posOffset>-76654</wp:posOffset>
                  </wp:positionV>
                  <wp:extent cx="1040235" cy="516086"/>
                  <wp:effectExtent l="0" t="0" r="1270" b="5080"/>
                  <wp:wrapNone/>
                  <wp:docPr id="572379376"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79376" name="Picture 4"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40235" cy="516086"/>
                          </a:xfrm>
                          <a:prstGeom prst="rect">
                            <a:avLst/>
                          </a:prstGeom>
                        </pic:spPr>
                      </pic:pic>
                    </a:graphicData>
                  </a:graphic>
                  <wp14:sizeRelH relativeFrom="page">
                    <wp14:pctWidth>0</wp14:pctWidth>
                  </wp14:sizeRelH>
                  <wp14:sizeRelV relativeFrom="page">
                    <wp14:pctHeight>0</wp14:pctHeight>
                  </wp14:sizeRelV>
                </wp:anchor>
              </w:drawing>
            </w:r>
          </w:p>
        </w:tc>
      </w:tr>
      <w:tr w:rsidR="00B3065F" w14:paraId="5EF8719E" w14:textId="77777777" w:rsidTr="00191166">
        <w:tc>
          <w:tcPr>
            <w:tcW w:w="4678" w:type="dxa"/>
          </w:tcPr>
          <w:p w14:paraId="4BDA721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658927D" w14:textId="390E46C6" w:rsidR="00B3065F" w:rsidRDefault="001A6568" w:rsidP="000870B0">
            <w:pPr>
              <w:pStyle w:val="Default"/>
              <w:spacing w:after="120"/>
              <w:jc w:val="center"/>
              <w:rPr>
                <w:rFonts w:ascii="Cambria" w:hAnsi="Cambria" w:cs="Arial"/>
                <w:color w:val="auto"/>
                <w:sz w:val="22"/>
                <w:szCs w:val="22"/>
              </w:rPr>
            </w:pPr>
            <w:r>
              <w:rPr>
                <w:rFonts w:ascii="Cambria" w:hAnsi="Cambria" w:cs="Arial"/>
                <w:color w:val="auto"/>
                <w:sz w:val="22"/>
                <w:szCs w:val="22"/>
              </w:rPr>
              <w:t>Bojan Huzanić</w:t>
            </w:r>
          </w:p>
        </w:tc>
      </w:tr>
    </w:tbl>
    <w:p w14:paraId="225CC345" w14:textId="7A5F6054" w:rsidR="006C69A6" w:rsidRDefault="006C69A6" w:rsidP="00B3065F">
      <w:pPr>
        <w:ind w:left="6237" w:right="-2"/>
        <w:jc w:val="center"/>
        <w:rPr>
          <w:rFonts w:cs="Arial"/>
        </w:rPr>
      </w:pPr>
    </w:p>
    <w:p w14:paraId="563379EB" w14:textId="18FB3A69" w:rsidR="00BC3286" w:rsidRDefault="00BC3286">
      <w:pPr>
        <w:spacing w:after="160" w:line="259" w:lineRule="auto"/>
        <w:jc w:val="left"/>
        <w:rPr>
          <w:rFonts w:cs="Arial"/>
        </w:rPr>
      </w:pPr>
      <w:r>
        <w:rPr>
          <w:rFonts w:cs="Arial"/>
        </w:rPr>
        <w:br w:type="page"/>
      </w:r>
    </w:p>
    <w:p w14:paraId="78FC995F" w14:textId="5DA2F0D4" w:rsidR="00796C20" w:rsidRDefault="00BC3286" w:rsidP="000A55BC">
      <w:pPr>
        <w:pStyle w:val="Heading1"/>
        <w:numPr>
          <w:ilvl w:val="0"/>
          <w:numId w:val="0"/>
        </w:numPr>
        <w:jc w:val="left"/>
      </w:pPr>
      <w:r>
        <w:lastRenderedPageBreak/>
        <w:t>PRILOG I</w:t>
      </w:r>
      <w:r w:rsidR="000D6894">
        <w:t xml:space="preserve">: </w:t>
      </w:r>
      <w:r w:rsidR="00B356D5" w:rsidRPr="00B356D5">
        <w:t>Skale i kriteriji za procjenu rizika</w:t>
      </w:r>
    </w:p>
    <w:p w14:paraId="6236C759" w14:textId="47AAF630" w:rsidR="00B356D5" w:rsidRDefault="00B356D5" w:rsidP="00B356D5">
      <w:pPr>
        <w:pStyle w:val="Caption"/>
      </w:pPr>
      <w:r>
        <w:t xml:space="preserve">Tablica </w:t>
      </w:r>
      <w:fldSimple w:instr=" SEQ Tablica \* ARABIC ">
        <w:r w:rsidR="00E5334A">
          <w:rPr>
            <w:noProof/>
          </w:rPr>
          <w:t>5</w:t>
        </w:r>
      </w:fldSimple>
      <w:r>
        <w:t xml:space="preserve">. </w:t>
      </w:r>
      <w:r w:rsidRPr="0003280A">
        <w:t>Prije obrade rizika</w:t>
      </w:r>
      <w:r>
        <w:t xml:space="preserve"> </w:t>
      </w:r>
    </w:p>
    <w:tbl>
      <w:tblPr>
        <w:tblStyle w:val="GridTable3-Accent1"/>
        <w:tblW w:w="0" w:type="auto"/>
        <w:tblLook w:val="04A0" w:firstRow="1" w:lastRow="0" w:firstColumn="1" w:lastColumn="0" w:noHBand="0" w:noVBand="1"/>
      </w:tblPr>
      <w:tblGrid>
        <w:gridCol w:w="1239"/>
        <w:gridCol w:w="4259"/>
        <w:gridCol w:w="3570"/>
      </w:tblGrid>
      <w:tr w:rsidR="00B356D5" w:rsidRPr="00B356D5" w14:paraId="54087BF0" w14:textId="77777777" w:rsidTr="00543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9F0E563" w14:textId="77777777" w:rsidR="00B356D5" w:rsidRPr="00B356D5" w:rsidRDefault="00B356D5" w:rsidP="00B356D5">
            <w:pPr>
              <w:spacing w:after="0"/>
              <w:jc w:val="center"/>
              <w:rPr>
                <w:rFonts w:eastAsia="Times New Roman" w:cs="Times New Roman"/>
                <w:b w:val="0"/>
                <w:bCs w:val="0"/>
                <w:i w:val="0"/>
                <w:iCs w:val="0"/>
                <w:lang w:val="en-001" w:eastAsia="zh-CN"/>
              </w:rPr>
            </w:pPr>
            <w:r w:rsidRPr="00B356D5">
              <w:rPr>
                <w:rFonts w:eastAsia="Times New Roman" w:cs="Times New Roman"/>
                <w:b w:val="0"/>
                <w:bCs w:val="0"/>
                <w:i w:val="0"/>
                <w:iCs w:val="0"/>
                <w:lang w:val="en-001" w:eastAsia="zh-CN"/>
              </w:rPr>
              <w:t>Razina</w:t>
            </w:r>
          </w:p>
        </w:tc>
        <w:tc>
          <w:tcPr>
            <w:tcW w:w="4259" w:type="dxa"/>
            <w:hideMark/>
          </w:tcPr>
          <w:p w14:paraId="699CD231" w14:textId="77777777" w:rsidR="00B356D5" w:rsidRPr="00B356D5" w:rsidRDefault="00B356D5" w:rsidP="00B356D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001" w:eastAsia="zh-CN"/>
              </w:rPr>
            </w:pPr>
            <w:r w:rsidRPr="00B356D5">
              <w:rPr>
                <w:rFonts w:eastAsia="Times New Roman" w:cs="Times New Roman"/>
                <w:b w:val="0"/>
                <w:bCs w:val="0"/>
                <w:lang w:val="en-001" w:eastAsia="zh-CN"/>
              </w:rPr>
              <w:t>Opis</w:t>
            </w:r>
          </w:p>
        </w:tc>
        <w:tc>
          <w:tcPr>
            <w:tcW w:w="3570" w:type="dxa"/>
            <w:hideMark/>
          </w:tcPr>
          <w:p w14:paraId="403889BA" w14:textId="77777777" w:rsidR="00B356D5" w:rsidRPr="00B356D5" w:rsidRDefault="00B356D5" w:rsidP="00B356D5">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001" w:eastAsia="zh-CN"/>
              </w:rPr>
            </w:pPr>
            <w:r w:rsidRPr="00B356D5">
              <w:rPr>
                <w:rFonts w:eastAsia="Times New Roman" w:cs="Times New Roman"/>
                <w:b w:val="0"/>
                <w:bCs w:val="0"/>
                <w:lang w:val="en-001" w:eastAsia="zh-CN"/>
              </w:rPr>
              <w:t>Tipični kriteriji</w:t>
            </w:r>
          </w:p>
        </w:tc>
      </w:tr>
      <w:tr w:rsidR="00B356D5" w:rsidRPr="00B356D5" w14:paraId="2503FE3F" w14:textId="77777777" w:rsidTr="00543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77815" w14:textId="77777777" w:rsidR="00B356D5" w:rsidRPr="00B356D5" w:rsidRDefault="00B356D5" w:rsidP="00B356D5">
            <w:pPr>
              <w:spacing w:after="0"/>
              <w:jc w:val="left"/>
              <w:rPr>
                <w:rFonts w:eastAsia="Times New Roman" w:cs="Times New Roman"/>
                <w:i w:val="0"/>
                <w:iCs w:val="0"/>
                <w:lang w:val="en-001" w:eastAsia="zh-CN"/>
              </w:rPr>
            </w:pPr>
            <w:r w:rsidRPr="00B356D5">
              <w:rPr>
                <w:rFonts w:eastAsia="Times New Roman" w:cs="Times New Roman"/>
                <w:i w:val="0"/>
                <w:iCs w:val="0"/>
                <w:lang w:val="en-001" w:eastAsia="zh-CN"/>
              </w:rPr>
              <w:t>Ekstreman</w:t>
            </w:r>
          </w:p>
        </w:tc>
        <w:tc>
          <w:tcPr>
            <w:tcW w:w="4259" w:type="dxa"/>
            <w:hideMark/>
          </w:tcPr>
          <w:p w14:paraId="17AB7C21" w14:textId="77777777" w:rsidR="00543703" w:rsidRPr="00E5334A" w:rsidRDefault="00B356D5" w:rsidP="00B356D5">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 xml:space="preserve">Rizik koji prijeti opstanku poslovanja. </w:t>
            </w:r>
          </w:p>
          <w:p w14:paraId="3C16ABED" w14:textId="32CDAE7B" w:rsidR="00B356D5" w:rsidRPr="00B356D5" w:rsidRDefault="00B356D5" w:rsidP="00B356D5">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Mora se odmah obraditi.</w:t>
            </w:r>
          </w:p>
        </w:tc>
        <w:tc>
          <w:tcPr>
            <w:tcW w:w="3570" w:type="dxa"/>
            <w:hideMark/>
          </w:tcPr>
          <w:p w14:paraId="4CCE64F6" w14:textId="77777777" w:rsidR="00B356D5" w:rsidRPr="00B356D5" w:rsidRDefault="00B356D5" w:rsidP="00B356D5">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Kritičan utjecaj i vrlo visoka vjerojatnost</w:t>
            </w:r>
          </w:p>
        </w:tc>
      </w:tr>
      <w:tr w:rsidR="00B356D5" w:rsidRPr="00B356D5" w14:paraId="77923D21" w14:textId="77777777" w:rsidTr="00543703">
        <w:tc>
          <w:tcPr>
            <w:cnfStyle w:val="001000000000" w:firstRow="0" w:lastRow="0" w:firstColumn="1" w:lastColumn="0" w:oddVBand="0" w:evenVBand="0" w:oddHBand="0" w:evenHBand="0" w:firstRowFirstColumn="0" w:firstRowLastColumn="0" w:lastRowFirstColumn="0" w:lastRowLastColumn="0"/>
            <w:tcW w:w="0" w:type="auto"/>
            <w:hideMark/>
          </w:tcPr>
          <w:p w14:paraId="253D784D" w14:textId="77777777" w:rsidR="00B356D5" w:rsidRPr="00B356D5" w:rsidRDefault="00B356D5" w:rsidP="00B356D5">
            <w:pPr>
              <w:spacing w:after="0"/>
              <w:jc w:val="left"/>
              <w:rPr>
                <w:rFonts w:eastAsia="Times New Roman" w:cs="Times New Roman"/>
                <w:i w:val="0"/>
                <w:iCs w:val="0"/>
                <w:lang w:val="en-001" w:eastAsia="zh-CN"/>
              </w:rPr>
            </w:pPr>
            <w:r w:rsidRPr="00B356D5">
              <w:rPr>
                <w:rFonts w:eastAsia="Times New Roman" w:cs="Times New Roman"/>
                <w:i w:val="0"/>
                <w:iCs w:val="0"/>
                <w:lang w:val="en-001" w:eastAsia="zh-CN"/>
              </w:rPr>
              <w:t>Visok</w:t>
            </w:r>
          </w:p>
        </w:tc>
        <w:tc>
          <w:tcPr>
            <w:tcW w:w="4259" w:type="dxa"/>
            <w:hideMark/>
          </w:tcPr>
          <w:p w14:paraId="43109595" w14:textId="77777777" w:rsidR="00543703" w:rsidRPr="00E5334A" w:rsidRDefault="00B356D5" w:rsidP="00B356D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 xml:space="preserve">Značajan rizik za poslovanje. </w:t>
            </w:r>
          </w:p>
          <w:p w14:paraId="423CEB67" w14:textId="28C5B07E" w:rsidR="00B356D5" w:rsidRPr="00B356D5" w:rsidRDefault="00B356D5" w:rsidP="00B356D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Mora se aktivno obraditi.</w:t>
            </w:r>
          </w:p>
        </w:tc>
        <w:tc>
          <w:tcPr>
            <w:tcW w:w="3570" w:type="dxa"/>
            <w:hideMark/>
          </w:tcPr>
          <w:p w14:paraId="361FA88F" w14:textId="77777777" w:rsidR="00B356D5" w:rsidRPr="00B356D5" w:rsidRDefault="00B356D5" w:rsidP="00B356D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Velik utjecaj i visoka vjerojatnost</w:t>
            </w:r>
          </w:p>
        </w:tc>
      </w:tr>
      <w:tr w:rsidR="00B356D5" w:rsidRPr="00B356D5" w14:paraId="66F6A79F" w14:textId="77777777" w:rsidTr="00543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400A42" w14:textId="77777777" w:rsidR="00B356D5" w:rsidRPr="00B356D5" w:rsidRDefault="00B356D5" w:rsidP="00B356D5">
            <w:pPr>
              <w:spacing w:after="0"/>
              <w:jc w:val="left"/>
              <w:rPr>
                <w:rFonts w:eastAsia="Times New Roman" w:cs="Times New Roman"/>
                <w:i w:val="0"/>
                <w:iCs w:val="0"/>
                <w:lang w:val="en-001" w:eastAsia="zh-CN"/>
              </w:rPr>
            </w:pPr>
            <w:r w:rsidRPr="00B356D5">
              <w:rPr>
                <w:rFonts w:eastAsia="Times New Roman" w:cs="Times New Roman"/>
                <w:i w:val="0"/>
                <w:iCs w:val="0"/>
                <w:lang w:val="en-001" w:eastAsia="zh-CN"/>
              </w:rPr>
              <w:t>Umjeren</w:t>
            </w:r>
          </w:p>
        </w:tc>
        <w:tc>
          <w:tcPr>
            <w:tcW w:w="4259" w:type="dxa"/>
            <w:hideMark/>
          </w:tcPr>
          <w:p w14:paraId="73D655C6" w14:textId="77777777" w:rsidR="00B356D5" w:rsidRPr="00B356D5" w:rsidRDefault="00B356D5" w:rsidP="00B356D5">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Rizik koji se može tolerirati, uz redovito praćenje.</w:t>
            </w:r>
          </w:p>
        </w:tc>
        <w:tc>
          <w:tcPr>
            <w:tcW w:w="3570" w:type="dxa"/>
            <w:hideMark/>
          </w:tcPr>
          <w:p w14:paraId="00A577EE" w14:textId="77777777" w:rsidR="00B356D5" w:rsidRPr="00B356D5" w:rsidRDefault="00B356D5" w:rsidP="00B356D5">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Umjeren utjecaj ili vjerojatnost</w:t>
            </w:r>
          </w:p>
        </w:tc>
      </w:tr>
      <w:tr w:rsidR="00B356D5" w:rsidRPr="00B356D5" w14:paraId="7869E84D" w14:textId="77777777" w:rsidTr="00543703">
        <w:tc>
          <w:tcPr>
            <w:cnfStyle w:val="001000000000" w:firstRow="0" w:lastRow="0" w:firstColumn="1" w:lastColumn="0" w:oddVBand="0" w:evenVBand="0" w:oddHBand="0" w:evenHBand="0" w:firstRowFirstColumn="0" w:firstRowLastColumn="0" w:lastRowFirstColumn="0" w:lastRowLastColumn="0"/>
            <w:tcW w:w="0" w:type="auto"/>
            <w:hideMark/>
          </w:tcPr>
          <w:p w14:paraId="1F896784" w14:textId="77777777" w:rsidR="00B356D5" w:rsidRPr="00B356D5" w:rsidRDefault="00B356D5" w:rsidP="00B356D5">
            <w:pPr>
              <w:spacing w:after="0"/>
              <w:jc w:val="left"/>
              <w:rPr>
                <w:rFonts w:eastAsia="Times New Roman" w:cs="Times New Roman"/>
                <w:i w:val="0"/>
                <w:iCs w:val="0"/>
                <w:lang w:val="en-001" w:eastAsia="zh-CN"/>
              </w:rPr>
            </w:pPr>
            <w:r w:rsidRPr="00B356D5">
              <w:rPr>
                <w:rFonts w:eastAsia="Times New Roman" w:cs="Times New Roman"/>
                <w:i w:val="0"/>
                <w:iCs w:val="0"/>
                <w:lang w:val="en-001" w:eastAsia="zh-CN"/>
              </w:rPr>
              <w:t>Nizak</w:t>
            </w:r>
          </w:p>
        </w:tc>
        <w:tc>
          <w:tcPr>
            <w:tcW w:w="4259" w:type="dxa"/>
            <w:hideMark/>
          </w:tcPr>
          <w:p w14:paraId="7554EF58" w14:textId="77777777" w:rsidR="00B356D5" w:rsidRPr="00B356D5" w:rsidRDefault="00B356D5" w:rsidP="00B356D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Rizik koji je prihvatljiv.</w:t>
            </w:r>
          </w:p>
        </w:tc>
        <w:tc>
          <w:tcPr>
            <w:tcW w:w="3570" w:type="dxa"/>
            <w:hideMark/>
          </w:tcPr>
          <w:p w14:paraId="566EEC3E" w14:textId="77777777" w:rsidR="00B356D5" w:rsidRPr="00B356D5" w:rsidRDefault="00B356D5" w:rsidP="00B356D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B356D5">
              <w:rPr>
                <w:rFonts w:eastAsia="Times New Roman" w:cs="Times New Roman"/>
                <w:lang w:val="en-001" w:eastAsia="zh-CN"/>
              </w:rPr>
              <w:t>Mala šteta i mala vjerojatnost</w:t>
            </w:r>
          </w:p>
        </w:tc>
      </w:tr>
    </w:tbl>
    <w:p w14:paraId="34366146" w14:textId="77777777" w:rsidR="00B356D5" w:rsidRDefault="00B356D5" w:rsidP="006C69A6">
      <w:pPr>
        <w:tabs>
          <w:tab w:val="left" w:pos="6030"/>
        </w:tabs>
        <w:rPr>
          <w:rFonts w:cs="Arial"/>
        </w:rPr>
      </w:pPr>
    </w:p>
    <w:p w14:paraId="717C5008" w14:textId="4567DBF1" w:rsidR="00021D4A" w:rsidRDefault="00021D4A" w:rsidP="00021D4A">
      <w:pPr>
        <w:pStyle w:val="Caption"/>
      </w:pPr>
      <w:r>
        <w:t xml:space="preserve">Tablica </w:t>
      </w:r>
      <w:fldSimple w:instr=" SEQ Tablica \* ARABIC ">
        <w:r w:rsidR="00E5334A">
          <w:rPr>
            <w:noProof/>
          </w:rPr>
          <w:t>6</w:t>
        </w:r>
      </w:fldSimple>
      <w:r>
        <w:t>. Nakon obrade rizika</w:t>
      </w:r>
    </w:p>
    <w:tbl>
      <w:tblPr>
        <w:tblStyle w:val="GridTable3-Accent1"/>
        <w:tblW w:w="0" w:type="auto"/>
        <w:tblLook w:val="04A0" w:firstRow="1" w:lastRow="0" w:firstColumn="1" w:lastColumn="0" w:noHBand="0" w:noVBand="1"/>
      </w:tblPr>
      <w:tblGrid>
        <w:gridCol w:w="1175"/>
        <w:gridCol w:w="4131"/>
        <w:gridCol w:w="3766"/>
      </w:tblGrid>
      <w:tr w:rsidR="00021D4A" w:rsidRPr="00021D4A" w14:paraId="2FF0FCDF" w14:textId="77777777" w:rsidTr="00543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9592BA3" w14:textId="77777777" w:rsidR="00021D4A" w:rsidRPr="00021D4A" w:rsidRDefault="00021D4A" w:rsidP="00021D4A">
            <w:pPr>
              <w:spacing w:after="0"/>
              <w:jc w:val="center"/>
              <w:rPr>
                <w:rFonts w:eastAsia="Times New Roman" w:cs="Times New Roman"/>
                <w:lang w:val="en-001" w:eastAsia="zh-CN"/>
              </w:rPr>
            </w:pPr>
            <w:r w:rsidRPr="00021D4A">
              <w:rPr>
                <w:rFonts w:eastAsia="Times New Roman" w:cs="Times New Roman"/>
                <w:lang w:val="en-001" w:eastAsia="zh-CN"/>
              </w:rPr>
              <w:t>Razina</w:t>
            </w:r>
          </w:p>
        </w:tc>
        <w:tc>
          <w:tcPr>
            <w:tcW w:w="0" w:type="auto"/>
            <w:hideMark/>
          </w:tcPr>
          <w:p w14:paraId="1CEBEADA" w14:textId="77777777" w:rsidR="00021D4A" w:rsidRPr="00021D4A" w:rsidRDefault="00021D4A" w:rsidP="00021D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Opis</w:t>
            </w:r>
          </w:p>
        </w:tc>
        <w:tc>
          <w:tcPr>
            <w:tcW w:w="0" w:type="auto"/>
            <w:hideMark/>
          </w:tcPr>
          <w:p w14:paraId="219D707C" w14:textId="77777777" w:rsidR="00021D4A" w:rsidRPr="00021D4A" w:rsidRDefault="00021D4A" w:rsidP="00021D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Što znači za tebe</w:t>
            </w:r>
          </w:p>
        </w:tc>
      </w:tr>
      <w:tr w:rsidR="00021D4A" w:rsidRPr="00021D4A" w14:paraId="1C3DE980" w14:textId="77777777" w:rsidTr="00543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21B6DA"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Umjeren</w:t>
            </w:r>
          </w:p>
        </w:tc>
        <w:tc>
          <w:tcPr>
            <w:tcW w:w="0" w:type="auto"/>
            <w:hideMark/>
          </w:tcPr>
          <w:p w14:paraId="677099BE"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Rizik je sveden na razinu koja zahtijeva samo praćenje.</w:t>
            </w:r>
          </w:p>
        </w:tc>
        <w:tc>
          <w:tcPr>
            <w:tcW w:w="0" w:type="auto"/>
            <w:hideMark/>
          </w:tcPr>
          <w:p w14:paraId="65C6F1FA"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Praćenje kroz interne kontrole i periodične revizije</w:t>
            </w:r>
          </w:p>
        </w:tc>
      </w:tr>
      <w:tr w:rsidR="00021D4A" w:rsidRPr="00021D4A" w14:paraId="0BEA30FA" w14:textId="77777777" w:rsidTr="00543703">
        <w:tc>
          <w:tcPr>
            <w:cnfStyle w:val="001000000000" w:firstRow="0" w:lastRow="0" w:firstColumn="1" w:lastColumn="0" w:oddVBand="0" w:evenVBand="0" w:oddHBand="0" w:evenHBand="0" w:firstRowFirstColumn="0" w:firstRowLastColumn="0" w:lastRowFirstColumn="0" w:lastRowLastColumn="0"/>
            <w:tcW w:w="0" w:type="auto"/>
            <w:hideMark/>
          </w:tcPr>
          <w:p w14:paraId="0E3399A3"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Nizak</w:t>
            </w:r>
          </w:p>
        </w:tc>
        <w:tc>
          <w:tcPr>
            <w:tcW w:w="0" w:type="auto"/>
            <w:hideMark/>
          </w:tcPr>
          <w:p w14:paraId="6C99B64A"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Rizik je minimalan, bez potrebe za dodatnim mjerama.</w:t>
            </w:r>
          </w:p>
        </w:tc>
        <w:tc>
          <w:tcPr>
            <w:tcW w:w="0" w:type="auto"/>
            <w:hideMark/>
          </w:tcPr>
          <w:p w14:paraId="5FF317F0"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Samo dokumentirati, bez aktivnog postupanja</w:t>
            </w:r>
          </w:p>
        </w:tc>
      </w:tr>
      <w:tr w:rsidR="00021D4A" w:rsidRPr="00021D4A" w14:paraId="741097C3" w14:textId="77777777" w:rsidTr="00543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591AE"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Prihvatljiv</w:t>
            </w:r>
          </w:p>
        </w:tc>
        <w:tc>
          <w:tcPr>
            <w:tcW w:w="0" w:type="auto"/>
            <w:hideMark/>
          </w:tcPr>
          <w:p w14:paraId="7D929626"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Formalno odlučeno da se rizik prihvaća bez dodatnih mjera.</w:t>
            </w:r>
          </w:p>
        </w:tc>
        <w:tc>
          <w:tcPr>
            <w:tcW w:w="0" w:type="auto"/>
            <w:hideMark/>
          </w:tcPr>
          <w:p w14:paraId="7B973D1E"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Mora biti dokumentirano i odobreno</w:t>
            </w:r>
          </w:p>
        </w:tc>
      </w:tr>
    </w:tbl>
    <w:p w14:paraId="739794D4" w14:textId="77777777" w:rsidR="00B356D5" w:rsidRDefault="00B356D5" w:rsidP="006C69A6">
      <w:pPr>
        <w:tabs>
          <w:tab w:val="left" w:pos="6030"/>
        </w:tabs>
        <w:rPr>
          <w:rFonts w:cs="Arial"/>
        </w:rPr>
      </w:pPr>
    </w:p>
    <w:p w14:paraId="74F54356" w14:textId="070EE343" w:rsidR="00021D4A" w:rsidRDefault="00021D4A" w:rsidP="00021D4A">
      <w:pPr>
        <w:pStyle w:val="Caption"/>
      </w:pPr>
      <w:r>
        <w:t xml:space="preserve">Tablica </w:t>
      </w:r>
      <w:fldSimple w:instr=" SEQ Tablica \* ARABIC ">
        <w:r w:rsidR="00E5334A">
          <w:rPr>
            <w:noProof/>
          </w:rPr>
          <w:t>7</w:t>
        </w:r>
      </w:fldSimple>
      <w:r>
        <w:t>. Skala procjene</w:t>
      </w:r>
    </w:p>
    <w:tbl>
      <w:tblPr>
        <w:tblStyle w:val="GridTable3-Accent1"/>
        <w:tblW w:w="0" w:type="auto"/>
        <w:jc w:val="center"/>
        <w:tblLook w:val="04A0" w:firstRow="1" w:lastRow="0" w:firstColumn="1" w:lastColumn="0" w:noHBand="0" w:noVBand="1"/>
      </w:tblPr>
      <w:tblGrid>
        <w:gridCol w:w="761"/>
        <w:gridCol w:w="1470"/>
        <w:gridCol w:w="2121"/>
      </w:tblGrid>
      <w:tr w:rsidR="00021D4A" w:rsidRPr="00021D4A" w14:paraId="38446952" w14:textId="77777777" w:rsidTr="00E5334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A5F33E6" w14:textId="77777777" w:rsidR="00021D4A" w:rsidRPr="00021D4A" w:rsidRDefault="00021D4A" w:rsidP="00021D4A">
            <w:pPr>
              <w:spacing w:after="0"/>
              <w:jc w:val="center"/>
              <w:rPr>
                <w:rFonts w:eastAsia="Times New Roman" w:cs="Times New Roman"/>
                <w:lang w:val="en-001" w:eastAsia="zh-CN"/>
              </w:rPr>
            </w:pPr>
            <w:r w:rsidRPr="00021D4A">
              <w:rPr>
                <w:rFonts w:eastAsia="Times New Roman" w:cs="Times New Roman"/>
                <w:lang w:val="en-001" w:eastAsia="zh-CN"/>
              </w:rPr>
              <w:t>Skala</w:t>
            </w:r>
          </w:p>
        </w:tc>
        <w:tc>
          <w:tcPr>
            <w:tcW w:w="0" w:type="auto"/>
            <w:hideMark/>
          </w:tcPr>
          <w:p w14:paraId="7156C25D" w14:textId="77777777" w:rsidR="00021D4A" w:rsidRPr="00021D4A" w:rsidRDefault="00021D4A" w:rsidP="00021D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Vjerojatnost</w:t>
            </w:r>
          </w:p>
        </w:tc>
        <w:tc>
          <w:tcPr>
            <w:tcW w:w="0" w:type="auto"/>
            <w:hideMark/>
          </w:tcPr>
          <w:p w14:paraId="286B5263" w14:textId="77777777" w:rsidR="00021D4A" w:rsidRPr="00021D4A" w:rsidRDefault="00021D4A" w:rsidP="00021D4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Utjecaj (max CIAO)</w:t>
            </w:r>
          </w:p>
        </w:tc>
      </w:tr>
      <w:tr w:rsidR="00021D4A" w:rsidRPr="00021D4A" w14:paraId="5BC48CB2" w14:textId="77777777" w:rsidTr="00E53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8941F6"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1</w:t>
            </w:r>
          </w:p>
        </w:tc>
        <w:tc>
          <w:tcPr>
            <w:tcW w:w="0" w:type="auto"/>
            <w:hideMark/>
          </w:tcPr>
          <w:p w14:paraId="33B445AC"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Vrlo mala</w:t>
            </w:r>
          </w:p>
        </w:tc>
        <w:tc>
          <w:tcPr>
            <w:tcW w:w="0" w:type="auto"/>
            <w:hideMark/>
          </w:tcPr>
          <w:p w14:paraId="25E1A004"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Neznatan</w:t>
            </w:r>
          </w:p>
        </w:tc>
      </w:tr>
      <w:tr w:rsidR="00021D4A" w:rsidRPr="00021D4A" w14:paraId="72A9B374" w14:textId="77777777" w:rsidTr="00E53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56814D"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2</w:t>
            </w:r>
          </w:p>
        </w:tc>
        <w:tc>
          <w:tcPr>
            <w:tcW w:w="0" w:type="auto"/>
            <w:hideMark/>
          </w:tcPr>
          <w:p w14:paraId="77AB2B61"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Mala</w:t>
            </w:r>
          </w:p>
        </w:tc>
        <w:tc>
          <w:tcPr>
            <w:tcW w:w="0" w:type="auto"/>
            <w:hideMark/>
          </w:tcPr>
          <w:p w14:paraId="7CAC2238"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Manji</w:t>
            </w:r>
          </w:p>
        </w:tc>
      </w:tr>
      <w:tr w:rsidR="00021D4A" w:rsidRPr="00021D4A" w14:paraId="5CAC4A59" w14:textId="77777777" w:rsidTr="00E53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5665BE"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3</w:t>
            </w:r>
          </w:p>
        </w:tc>
        <w:tc>
          <w:tcPr>
            <w:tcW w:w="0" w:type="auto"/>
            <w:hideMark/>
          </w:tcPr>
          <w:p w14:paraId="548A2CEC"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Umjerena</w:t>
            </w:r>
          </w:p>
        </w:tc>
        <w:tc>
          <w:tcPr>
            <w:tcW w:w="0" w:type="auto"/>
            <w:hideMark/>
          </w:tcPr>
          <w:p w14:paraId="53EA4029"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Umjeren</w:t>
            </w:r>
          </w:p>
        </w:tc>
      </w:tr>
      <w:tr w:rsidR="00021D4A" w:rsidRPr="00021D4A" w14:paraId="6F139060" w14:textId="77777777" w:rsidTr="00E53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AD0FEC"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4</w:t>
            </w:r>
          </w:p>
        </w:tc>
        <w:tc>
          <w:tcPr>
            <w:tcW w:w="0" w:type="auto"/>
            <w:hideMark/>
          </w:tcPr>
          <w:p w14:paraId="0248B78A"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Velika</w:t>
            </w:r>
          </w:p>
        </w:tc>
        <w:tc>
          <w:tcPr>
            <w:tcW w:w="0" w:type="auto"/>
            <w:hideMark/>
          </w:tcPr>
          <w:p w14:paraId="3AB5E4B4" w14:textId="77777777" w:rsidR="00021D4A" w:rsidRPr="00021D4A" w:rsidRDefault="00021D4A" w:rsidP="00021D4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Velik</w:t>
            </w:r>
          </w:p>
        </w:tc>
      </w:tr>
      <w:tr w:rsidR="00021D4A" w:rsidRPr="00021D4A" w14:paraId="536C2992" w14:textId="77777777" w:rsidTr="00E53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96B28D" w14:textId="77777777" w:rsidR="00021D4A" w:rsidRPr="00021D4A" w:rsidRDefault="00021D4A" w:rsidP="00021D4A">
            <w:pPr>
              <w:spacing w:after="0"/>
              <w:jc w:val="left"/>
              <w:rPr>
                <w:rFonts w:eastAsia="Times New Roman" w:cs="Times New Roman"/>
                <w:lang w:val="en-001" w:eastAsia="zh-CN"/>
              </w:rPr>
            </w:pPr>
            <w:r w:rsidRPr="00021D4A">
              <w:rPr>
                <w:rFonts w:eastAsia="Times New Roman" w:cs="Times New Roman"/>
                <w:lang w:val="en-001" w:eastAsia="zh-CN"/>
              </w:rPr>
              <w:t>5</w:t>
            </w:r>
          </w:p>
        </w:tc>
        <w:tc>
          <w:tcPr>
            <w:tcW w:w="0" w:type="auto"/>
            <w:hideMark/>
          </w:tcPr>
          <w:p w14:paraId="1C4CB8D8"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Vrlo velika</w:t>
            </w:r>
          </w:p>
        </w:tc>
        <w:tc>
          <w:tcPr>
            <w:tcW w:w="0" w:type="auto"/>
            <w:hideMark/>
          </w:tcPr>
          <w:p w14:paraId="465C0658" w14:textId="77777777" w:rsidR="00021D4A" w:rsidRPr="00021D4A" w:rsidRDefault="00021D4A" w:rsidP="00021D4A">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021D4A">
              <w:rPr>
                <w:rFonts w:eastAsia="Times New Roman" w:cs="Times New Roman"/>
                <w:lang w:val="en-001" w:eastAsia="zh-CN"/>
              </w:rPr>
              <w:t>Kritičan</w:t>
            </w:r>
          </w:p>
        </w:tc>
      </w:tr>
    </w:tbl>
    <w:p w14:paraId="62A55DDB" w14:textId="77777777" w:rsidR="00021D4A" w:rsidRDefault="00021D4A" w:rsidP="006C69A6">
      <w:pPr>
        <w:tabs>
          <w:tab w:val="left" w:pos="6030"/>
        </w:tabs>
        <w:rPr>
          <w:rFonts w:cs="Arial"/>
        </w:rPr>
      </w:pPr>
    </w:p>
    <w:p w14:paraId="3B4D7F86" w14:textId="75B8BAAF" w:rsidR="00543703" w:rsidRDefault="00543703" w:rsidP="00543703">
      <w:pPr>
        <w:pStyle w:val="Caption"/>
      </w:pPr>
      <w:r>
        <w:t xml:space="preserve">Tablica </w:t>
      </w:r>
      <w:fldSimple w:instr=" SEQ Tablica \* ARABIC ">
        <w:r w:rsidR="00E5334A">
          <w:rPr>
            <w:noProof/>
          </w:rPr>
          <w:t>8</w:t>
        </w:r>
      </w:fldSimple>
      <w:r>
        <w:t xml:space="preserve">. </w:t>
      </w:r>
      <w:r w:rsidRPr="00FF631C">
        <w:t>Izračun ukupne ocjene rizika (Utjecaj × Vjerojatnost)</w:t>
      </w:r>
    </w:p>
    <w:tbl>
      <w:tblPr>
        <w:tblStyle w:val="GridTable3-Accent1"/>
        <w:tblW w:w="0" w:type="auto"/>
        <w:jc w:val="center"/>
        <w:tblLook w:val="04A0" w:firstRow="1" w:lastRow="0" w:firstColumn="1" w:lastColumn="0" w:noHBand="0" w:noVBand="1"/>
      </w:tblPr>
      <w:tblGrid>
        <w:gridCol w:w="3470"/>
        <w:gridCol w:w="1546"/>
      </w:tblGrid>
      <w:tr w:rsidR="00543703" w:rsidRPr="00543703" w14:paraId="71E03881" w14:textId="77777777" w:rsidTr="00E5334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27B214F7" w14:textId="77777777" w:rsidR="00543703" w:rsidRPr="00543703" w:rsidRDefault="00543703" w:rsidP="00543703">
            <w:pPr>
              <w:spacing w:after="0"/>
              <w:jc w:val="center"/>
              <w:rPr>
                <w:rFonts w:eastAsia="Times New Roman" w:cs="Times New Roman"/>
                <w:i w:val="0"/>
                <w:iCs w:val="0"/>
                <w:lang w:val="en-001" w:eastAsia="zh-CN"/>
              </w:rPr>
            </w:pPr>
            <w:r w:rsidRPr="00543703">
              <w:rPr>
                <w:rFonts w:eastAsia="Times New Roman" w:cs="Times New Roman"/>
                <w:i w:val="0"/>
                <w:iCs w:val="0"/>
                <w:lang w:val="en-001" w:eastAsia="zh-CN"/>
              </w:rPr>
              <w:t>Rezultat (Utjecaj × Vjerojatnost)</w:t>
            </w:r>
          </w:p>
        </w:tc>
        <w:tc>
          <w:tcPr>
            <w:tcW w:w="0" w:type="auto"/>
            <w:hideMark/>
          </w:tcPr>
          <w:p w14:paraId="75DB1C79" w14:textId="77777777" w:rsidR="00543703" w:rsidRPr="00543703" w:rsidRDefault="00543703" w:rsidP="0054370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001" w:eastAsia="zh-CN"/>
              </w:rPr>
            </w:pPr>
            <w:r w:rsidRPr="00543703">
              <w:rPr>
                <w:rFonts w:eastAsia="Times New Roman" w:cs="Times New Roman"/>
                <w:lang w:val="en-001" w:eastAsia="zh-CN"/>
              </w:rPr>
              <w:t>Razina rizika</w:t>
            </w:r>
          </w:p>
        </w:tc>
      </w:tr>
      <w:tr w:rsidR="00543703" w:rsidRPr="00543703" w14:paraId="6B461FAB" w14:textId="77777777" w:rsidTr="00E53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E491F1" w14:textId="77777777" w:rsidR="00543703" w:rsidRPr="00543703" w:rsidRDefault="00543703" w:rsidP="00543703">
            <w:pPr>
              <w:spacing w:after="0"/>
              <w:jc w:val="center"/>
              <w:rPr>
                <w:rFonts w:eastAsia="Times New Roman" w:cs="Times New Roman"/>
                <w:i w:val="0"/>
                <w:iCs w:val="0"/>
                <w:lang w:val="en-001" w:eastAsia="zh-CN"/>
              </w:rPr>
            </w:pPr>
            <w:r w:rsidRPr="00543703">
              <w:rPr>
                <w:rFonts w:eastAsia="Times New Roman" w:cs="Times New Roman"/>
                <w:i w:val="0"/>
                <w:iCs w:val="0"/>
                <w:lang w:val="en-001" w:eastAsia="zh-CN"/>
              </w:rPr>
              <w:t>1 – 5</w:t>
            </w:r>
          </w:p>
        </w:tc>
        <w:tc>
          <w:tcPr>
            <w:tcW w:w="0" w:type="auto"/>
            <w:hideMark/>
          </w:tcPr>
          <w:p w14:paraId="78BFA5BC" w14:textId="77777777" w:rsidR="00543703" w:rsidRPr="00543703" w:rsidRDefault="00543703" w:rsidP="00543703">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543703">
              <w:rPr>
                <w:rFonts w:eastAsia="Times New Roman" w:cs="Times New Roman"/>
                <w:lang w:val="en-001" w:eastAsia="zh-CN"/>
              </w:rPr>
              <w:t>Nizak</w:t>
            </w:r>
          </w:p>
        </w:tc>
      </w:tr>
      <w:tr w:rsidR="00543703" w:rsidRPr="00543703" w14:paraId="65BFC4ED" w14:textId="77777777" w:rsidTr="00E53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39E56B" w14:textId="77777777" w:rsidR="00543703" w:rsidRPr="00543703" w:rsidRDefault="00543703" w:rsidP="00543703">
            <w:pPr>
              <w:spacing w:after="0"/>
              <w:jc w:val="center"/>
              <w:rPr>
                <w:rFonts w:eastAsia="Times New Roman" w:cs="Times New Roman"/>
                <w:i w:val="0"/>
                <w:iCs w:val="0"/>
                <w:lang w:val="en-001" w:eastAsia="zh-CN"/>
              </w:rPr>
            </w:pPr>
            <w:r w:rsidRPr="00543703">
              <w:rPr>
                <w:rFonts w:eastAsia="Times New Roman" w:cs="Times New Roman"/>
                <w:i w:val="0"/>
                <w:iCs w:val="0"/>
                <w:lang w:val="en-001" w:eastAsia="zh-CN"/>
              </w:rPr>
              <w:t>6 – 12</w:t>
            </w:r>
          </w:p>
        </w:tc>
        <w:tc>
          <w:tcPr>
            <w:tcW w:w="0" w:type="auto"/>
            <w:hideMark/>
          </w:tcPr>
          <w:p w14:paraId="54233547" w14:textId="77777777" w:rsidR="00543703" w:rsidRPr="00543703" w:rsidRDefault="00543703" w:rsidP="00543703">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543703">
              <w:rPr>
                <w:rFonts w:eastAsia="Times New Roman" w:cs="Times New Roman"/>
                <w:lang w:val="en-001" w:eastAsia="zh-CN"/>
              </w:rPr>
              <w:t>Umjeren</w:t>
            </w:r>
          </w:p>
        </w:tc>
      </w:tr>
      <w:tr w:rsidR="00543703" w:rsidRPr="00543703" w14:paraId="6C6AD5CB" w14:textId="77777777" w:rsidTr="00E53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F293AA" w14:textId="77777777" w:rsidR="00543703" w:rsidRPr="00543703" w:rsidRDefault="00543703" w:rsidP="00543703">
            <w:pPr>
              <w:spacing w:after="0"/>
              <w:jc w:val="center"/>
              <w:rPr>
                <w:rFonts w:eastAsia="Times New Roman" w:cs="Times New Roman"/>
                <w:i w:val="0"/>
                <w:iCs w:val="0"/>
                <w:lang w:val="en-001" w:eastAsia="zh-CN"/>
              </w:rPr>
            </w:pPr>
            <w:r w:rsidRPr="00543703">
              <w:rPr>
                <w:rFonts w:eastAsia="Times New Roman" w:cs="Times New Roman"/>
                <w:i w:val="0"/>
                <w:iCs w:val="0"/>
                <w:lang w:val="en-001" w:eastAsia="zh-CN"/>
              </w:rPr>
              <w:t>13 – 20</w:t>
            </w:r>
          </w:p>
        </w:tc>
        <w:tc>
          <w:tcPr>
            <w:tcW w:w="0" w:type="auto"/>
            <w:hideMark/>
          </w:tcPr>
          <w:p w14:paraId="5D1792E2" w14:textId="77777777" w:rsidR="00543703" w:rsidRPr="00543703" w:rsidRDefault="00543703" w:rsidP="00543703">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001" w:eastAsia="zh-CN"/>
              </w:rPr>
            </w:pPr>
            <w:r w:rsidRPr="00543703">
              <w:rPr>
                <w:rFonts w:eastAsia="Times New Roman" w:cs="Times New Roman"/>
                <w:lang w:val="en-001" w:eastAsia="zh-CN"/>
              </w:rPr>
              <w:t>Visok</w:t>
            </w:r>
          </w:p>
        </w:tc>
      </w:tr>
      <w:tr w:rsidR="00543703" w:rsidRPr="00543703" w14:paraId="6B6C32E9" w14:textId="77777777" w:rsidTr="00E53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98C9F3" w14:textId="77777777" w:rsidR="00543703" w:rsidRPr="00543703" w:rsidRDefault="00543703" w:rsidP="00543703">
            <w:pPr>
              <w:spacing w:after="0"/>
              <w:jc w:val="center"/>
              <w:rPr>
                <w:rFonts w:eastAsia="Times New Roman" w:cs="Times New Roman"/>
                <w:i w:val="0"/>
                <w:iCs w:val="0"/>
                <w:lang w:val="en-001" w:eastAsia="zh-CN"/>
              </w:rPr>
            </w:pPr>
            <w:r w:rsidRPr="00543703">
              <w:rPr>
                <w:rFonts w:eastAsia="Times New Roman" w:cs="Times New Roman"/>
                <w:i w:val="0"/>
                <w:iCs w:val="0"/>
                <w:lang w:val="en-001" w:eastAsia="zh-CN"/>
              </w:rPr>
              <w:t>21 – 25</w:t>
            </w:r>
          </w:p>
        </w:tc>
        <w:tc>
          <w:tcPr>
            <w:tcW w:w="0" w:type="auto"/>
            <w:hideMark/>
          </w:tcPr>
          <w:p w14:paraId="55885D32" w14:textId="77777777" w:rsidR="00543703" w:rsidRPr="00543703" w:rsidRDefault="00543703" w:rsidP="00543703">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001" w:eastAsia="zh-CN"/>
              </w:rPr>
            </w:pPr>
            <w:r w:rsidRPr="00543703">
              <w:rPr>
                <w:rFonts w:eastAsia="Times New Roman" w:cs="Times New Roman"/>
                <w:lang w:val="en-001" w:eastAsia="zh-CN"/>
              </w:rPr>
              <w:t>Ekstreman</w:t>
            </w:r>
          </w:p>
        </w:tc>
      </w:tr>
    </w:tbl>
    <w:p w14:paraId="299A1112" w14:textId="77777777" w:rsidR="00021D4A" w:rsidRDefault="00021D4A" w:rsidP="006C69A6">
      <w:pPr>
        <w:tabs>
          <w:tab w:val="left" w:pos="6030"/>
        </w:tabs>
        <w:rPr>
          <w:rFonts w:cs="Arial"/>
        </w:rPr>
      </w:pPr>
    </w:p>
    <w:p w14:paraId="520E3DF3" w14:textId="77777777" w:rsidR="00021D4A" w:rsidRPr="006C69A6" w:rsidRDefault="00021D4A" w:rsidP="006C69A6">
      <w:pPr>
        <w:tabs>
          <w:tab w:val="left" w:pos="6030"/>
        </w:tabs>
        <w:rPr>
          <w:rFonts w:cs="Arial"/>
        </w:rPr>
      </w:pPr>
    </w:p>
    <w:sectPr w:rsidR="00021D4A" w:rsidRPr="006C69A6" w:rsidSect="004A405C">
      <w:headerReference w:type="default" r:id="rId9"/>
      <w:footerReference w:type="default" r:id="rId10"/>
      <w:footerReference w:type="first" r:id="rId11"/>
      <w:pgSz w:w="11906" w:h="16838"/>
      <w:pgMar w:top="1779" w:right="1417" w:bottom="1964"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F9C3" w14:textId="77777777" w:rsidR="0056732D" w:rsidRDefault="0056732D" w:rsidP="00E40323">
      <w:pPr>
        <w:spacing w:after="0"/>
      </w:pPr>
      <w:r>
        <w:separator/>
      </w:r>
    </w:p>
  </w:endnote>
  <w:endnote w:type="continuationSeparator" w:id="0">
    <w:p w14:paraId="724A548A" w14:textId="77777777" w:rsidR="0056732D" w:rsidRDefault="0056732D"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690" w14:textId="1C0FAF38" w:rsidR="006C69A6" w:rsidRPr="00A02BBB" w:rsidRDefault="006C69A6" w:rsidP="00A51B15">
    <w:pPr>
      <w:pBdr>
        <w:top w:val="single" w:sz="36" w:space="1" w:color="0D5435"/>
      </w:pBdr>
      <w:tabs>
        <w:tab w:val="left" w:pos="2127"/>
      </w:tabs>
      <w:spacing w:after="0"/>
      <w:jc w:val="center"/>
      <w:rPr>
        <w:smallCaps/>
        <w:color w:val="668CA4"/>
        <w:sz w:val="18"/>
      </w:rPr>
    </w:pPr>
    <w:r w:rsidRPr="006C69A6">
      <w:rPr>
        <w:smallCaps/>
        <w:color w:val="668CA4"/>
        <w:sz w:val="18"/>
      </w:rPr>
      <w:t>METODOLOGIJA UPRAVLJANJA RIZICIMA INFORMACIJSKOG SUSTAVA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42"/>
      <w:gridCol w:w="2942"/>
    </w:tblGrid>
    <w:tr w:rsidR="006C69A6" w14:paraId="01AAE3B9" w14:textId="77777777" w:rsidTr="00927C1D">
      <w:tc>
        <w:tcPr>
          <w:tcW w:w="3077" w:type="dxa"/>
        </w:tcPr>
        <w:p w14:paraId="0A18C931" w14:textId="77777777" w:rsidR="006C69A6" w:rsidRDefault="006C69A6" w:rsidP="006C69A6">
          <w:pPr>
            <w:jc w:val="center"/>
            <w:rPr>
              <w:color w:val="668CA4"/>
              <w:sz w:val="20"/>
              <w:szCs w:val="28"/>
              <w14:textOutline w14:w="9525" w14:cap="rnd" w14:cmpd="sng" w14:algn="ctr">
                <w14:noFill/>
                <w14:prstDash w14:val="solid"/>
                <w14:bevel/>
              </w14:textOutline>
            </w:rPr>
          </w:pPr>
        </w:p>
      </w:tc>
      <w:tc>
        <w:tcPr>
          <w:tcW w:w="2942" w:type="dxa"/>
        </w:tcPr>
        <w:p w14:paraId="73EB1F56" w14:textId="1F4EBBC3" w:rsidR="006C69A6" w:rsidRDefault="006C69A6" w:rsidP="006C69A6">
          <w:pPr>
            <w:jc w:val="center"/>
            <w:rPr>
              <w:color w:val="668CA4"/>
              <w:sz w:val="20"/>
              <w:szCs w:val="28"/>
              <w14:textOutline w14:w="9525" w14:cap="rnd" w14:cmpd="sng" w14:algn="ctr">
                <w14:noFill/>
                <w14:prstDash w14:val="solid"/>
                <w14:bevel/>
              </w14:textOutline>
            </w:rPr>
          </w:pPr>
          <w:r>
            <w:rPr>
              <w:color w:val="668CA4"/>
              <w:sz w:val="20"/>
            </w:rPr>
            <w:t>V 1</w:t>
          </w:r>
          <w:r w:rsidRPr="00C22234">
            <w:rPr>
              <w:color w:val="668CA4"/>
              <w:sz w:val="20"/>
            </w:rPr>
            <w:t>.</w:t>
          </w:r>
          <w:r w:rsidR="001A6568">
            <w:rPr>
              <w:color w:val="668CA4"/>
              <w:sz w:val="20"/>
            </w:rPr>
            <w:t>0</w:t>
          </w:r>
        </w:p>
      </w:tc>
      <w:tc>
        <w:tcPr>
          <w:tcW w:w="2942" w:type="dxa"/>
        </w:tcPr>
        <w:p w14:paraId="1E1E0B79" w14:textId="77777777" w:rsidR="006C69A6" w:rsidRDefault="006C69A6" w:rsidP="006C69A6">
          <w:pPr>
            <w:jc w:val="right"/>
            <w:rPr>
              <w:color w:val="668CA4"/>
              <w:sz w:val="20"/>
              <w:szCs w:val="28"/>
              <w14:textOutline w14:w="9525" w14:cap="rnd" w14:cmpd="sng" w14:algn="ctr">
                <w14:noFill/>
                <w14:prstDash w14:val="solid"/>
                <w14:bevel/>
              </w14:textOutline>
            </w:rPr>
          </w:pPr>
          <w:r>
            <w:t xml:space="preserve">Stranica </w:t>
          </w:r>
          <w:r>
            <w:fldChar w:fldCharType="begin"/>
          </w:r>
          <w:r>
            <w:instrText xml:space="preserve"> PAGE   \* MERGEFORMAT </w:instrText>
          </w:r>
          <w:r>
            <w:fldChar w:fldCharType="separate"/>
          </w:r>
          <w:r>
            <w:t>1</w:t>
          </w:r>
          <w:r>
            <w:fldChar w:fldCharType="end"/>
          </w:r>
          <w:r>
            <w:t xml:space="preserve"> od </w:t>
          </w:r>
          <w:fldSimple w:instr=" NUMPAGES  \* MERGEFORMAT ">
            <w:r>
              <w:t>7</w:t>
            </w:r>
          </w:fldSimple>
        </w:p>
      </w:tc>
    </w:tr>
  </w:tbl>
  <w:p w14:paraId="7B8D1D3D" w14:textId="566AFA3C" w:rsidR="00813BE8" w:rsidRPr="006C69A6" w:rsidRDefault="00813BE8" w:rsidP="006C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D74" w14:textId="359AA9F4" w:rsidR="00813BE8" w:rsidRPr="006C69A6" w:rsidRDefault="00A1630A" w:rsidP="006C69A6">
    <w:pPr>
      <w:pStyle w:val="Footer"/>
      <w:jc w:val="right"/>
    </w:pPr>
    <w:r w:rsidRPr="009C55B7">
      <w:rPr>
        <w:b/>
        <w:noProof/>
        <w:color w:val="FF0000"/>
      </w:rPr>
      <w:drawing>
        <wp:inline distT="0" distB="0" distL="0" distR="0" wp14:anchorId="0976CF7C" wp14:editId="2E02735B">
          <wp:extent cx="793898" cy="635119"/>
          <wp:effectExtent l="0" t="0" r="6350" b="0"/>
          <wp:docPr id="78573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stretch>
                    <a:fillRect/>
                  </a:stretch>
                </pic:blipFill>
                <pic:spPr>
                  <a:xfrm>
                    <a:off x="0" y="0"/>
                    <a:ext cx="833562" cy="666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E084" w14:textId="77777777" w:rsidR="0056732D" w:rsidRDefault="0056732D" w:rsidP="00E40323">
      <w:pPr>
        <w:spacing w:after="0"/>
      </w:pPr>
      <w:r>
        <w:separator/>
      </w:r>
    </w:p>
  </w:footnote>
  <w:footnote w:type="continuationSeparator" w:id="0">
    <w:p w14:paraId="654B87CB" w14:textId="77777777" w:rsidR="0056732D" w:rsidRDefault="0056732D"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D5435"/>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3CF896ED" w14:textId="77777777" w:rsidTr="00AC1E6C">
      <w:tc>
        <w:tcPr>
          <w:tcW w:w="4531" w:type="dxa"/>
        </w:tcPr>
        <w:p w14:paraId="59A18A16" w14:textId="4DE0C862" w:rsidR="000870B0" w:rsidRDefault="00AC1E6C" w:rsidP="004C3784">
          <w:pPr>
            <w:pStyle w:val="Footer"/>
            <w:ind w:left="321"/>
          </w:pPr>
          <w:r w:rsidRPr="009C55B7">
            <w:rPr>
              <w:b/>
              <w:noProof/>
              <w:color w:val="FF0000"/>
            </w:rPr>
            <w:drawing>
              <wp:anchor distT="0" distB="0" distL="114300" distR="114300" simplePos="0" relativeHeight="251663360" behindDoc="0" locked="0" layoutInCell="1" allowOverlap="1" wp14:anchorId="437440BA" wp14:editId="014B3FEF">
                <wp:simplePos x="0" y="0"/>
                <wp:positionH relativeFrom="column">
                  <wp:posOffset>207010</wp:posOffset>
                </wp:positionH>
                <wp:positionV relativeFrom="paragraph">
                  <wp:posOffset>128633</wp:posOffset>
                </wp:positionV>
                <wp:extent cx="381000" cy="304800"/>
                <wp:effectExtent l="0" t="0" r="0" b="0"/>
                <wp:wrapNone/>
                <wp:docPr id="151739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extLst>
                            <a:ext uri="{28A0092B-C50C-407E-A947-70E740481C1C}">
                              <a14:useLocalDpi xmlns:a14="http://schemas.microsoft.com/office/drawing/2010/main" val="0"/>
                            </a:ext>
                          </a:extLst>
                        </a:blip>
                        <a:stretch>
                          <a:fillRect/>
                        </a:stretch>
                      </pic:blipFill>
                      <pic:spPr>
                        <a:xfrm>
                          <a:off x="0" y="0"/>
                          <a:ext cx="381000" cy="304800"/>
                        </a:xfrm>
                        <a:prstGeom prst="rect">
                          <a:avLst/>
                        </a:prstGeom>
                      </pic:spPr>
                    </pic:pic>
                  </a:graphicData>
                </a:graphic>
                <wp14:sizeRelH relativeFrom="page">
                  <wp14:pctWidth>0</wp14:pctWidth>
                </wp14:sizeRelH>
                <wp14:sizeRelV relativeFrom="page">
                  <wp14:pctHeight>0</wp14:pctHeight>
                </wp14:sizeRelV>
              </wp:anchor>
            </w:drawing>
          </w:r>
        </w:p>
      </w:tc>
      <w:tc>
        <w:tcPr>
          <w:tcW w:w="4531" w:type="dxa"/>
        </w:tcPr>
        <w:p w14:paraId="46CFE7FE" w14:textId="77777777" w:rsidR="000870B0" w:rsidRDefault="000870B0" w:rsidP="005472B0">
          <w:pPr>
            <w:pStyle w:val="Header"/>
            <w:jc w:val="right"/>
            <w:rPr>
              <w:b/>
              <w:smallCaps/>
              <w:color w:val="44546A" w:themeColor="text2"/>
              <w:sz w:val="20"/>
            </w:rPr>
          </w:pPr>
        </w:p>
        <w:p w14:paraId="0607E2D0" w14:textId="77777777" w:rsidR="006C69A6" w:rsidRDefault="006C69A6" w:rsidP="005472B0">
          <w:pPr>
            <w:pStyle w:val="Header"/>
            <w:jc w:val="right"/>
            <w:rPr>
              <w:b/>
              <w:smallCaps/>
              <w:color w:val="44546A" w:themeColor="text2"/>
              <w:sz w:val="20"/>
            </w:rPr>
          </w:pPr>
          <w:r>
            <w:rPr>
              <w:b/>
              <w:smallCaps/>
              <w:color w:val="44546A" w:themeColor="text2"/>
              <w:sz w:val="20"/>
            </w:rPr>
            <w:t>Služba informatike</w:t>
          </w:r>
        </w:p>
        <w:p w14:paraId="72AEF4F7" w14:textId="7224BA31" w:rsidR="00813BE8" w:rsidRPr="00C40BE8" w:rsidRDefault="000870B0" w:rsidP="005472B0">
          <w:pPr>
            <w:pStyle w:val="Header"/>
            <w:jc w:val="right"/>
            <w:rPr>
              <w:smallCaps/>
              <w:color w:val="2F5496" w:themeColor="accent1" w:themeShade="BF"/>
            </w:rPr>
          </w:pPr>
          <w:r w:rsidRPr="00AC1E6C">
            <w:rPr>
              <w:b/>
              <w:smallCaps/>
              <w:color w:val="0D5435"/>
              <w:sz w:val="20"/>
            </w:rPr>
            <w:t>Metodologija</w:t>
          </w:r>
          <w:r w:rsidR="00813BE8" w:rsidRPr="00C40BE8">
            <w:rPr>
              <w:b/>
              <w:smallCaps/>
              <w:color w:val="44546A" w:themeColor="text2"/>
              <w:sz w:val="20"/>
            </w:rPr>
            <w:t xml:space="preserve">- </w:t>
          </w:r>
          <w:r w:rsidR="00813BE8" w:rsidRPr="00137CF3">
            <w:rPr>
              <w:b/>
              <w:smallCaps/>
              <w:color w:val="FF0000"/>
              <w:sz w:val="20"/>
            </w:rPr>
            <w:t>Interno</w:t>
          </w:r>
        </w:p>
      </w:tc>
    </w:tr>
  </w:tbl>
  <w:p w14:paraId="27C2CADB"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4508D717" wp14:editId="04053C54">
              <wp:simplePos x="0" y="0"/>
              <wp:positionH relativeFrom="column">
                <wp:posOffset>-619760</wp:posOffset>
              </wp:positionH>
              <wp:positionV relativeFrom="paragraph">
                <wp:posOffset>-327289</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B84EC" w14:textId="77777777" w:rsidR="00813BE8" w:rsidRPr="006C69A6" w:rsidRDefault="00813BE8" w:rsidP="00137CF3">
                          <w:pPr>
                            <w:pStyle w:val="NoSpacing"/>
                            <w:jc w:val="right"/>
                            <w:rPr>
                              <w:color w:val="A1C000"/>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D7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" adj="17208" fillcolor="#0d5435" stroked="f" strokeweight="1pt">
              <v:textbox inset=",0,14.4pt,0">
                <w:txbxContent>
                  <w:p w14:paraId="6EEB84EC" w14:textId="77777777" w:rsidR="00813BE8" w:rsidRPr="006C69A6" w:rsidRDefault="00813BE8" w:rsidP="00137CF3">
                    <w:pPr>
                      <w:pStyle w:val="NoSpacing"/>
                      <w:jc w:val="right"/>
                      <w:rPr>
                        <w:color w:val="A1C000"/>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062"/>
    <w:multiLevelType w:val="hybridMultilevel"/>
    <w:tmpl w:val="F06E2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7415A"/>
    <w:multiLevelType w:val="hybridMultilevel"/>
    <w:tmpl w:val="ED48A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5C0120"/>
    <w:multiLevelType w:val="hybridMultilevel"/>
    <w:tmpl w:val="76E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173006"/>
    <w:multiLevelType w:val="hybridMultilevel"/>
    <w:tmpl w:val="40C2A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4C6AE9"/>
    <w:multiLevelType w:val="hybridMultilevel"/>
    <w:tmpl w:val="85A8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C758EF"/>
    <w:multiLevelType w:val="hybridMultilevel"/>
    <w:tmpl w:val="11902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E78A9"/>
    <w:multiLevelType w:val="hybridMultilevel"/>
    <w:tmpl w:val="BDF8472E"/>
    <w:lvl w:ilvl="0" w:tplc="D0FA9DB0">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890"/>
    <w:multiLevelType w:val="hybridMultilevel"/>
    <w:tmpl w:val="C92C21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95D55"/>
    <w:multiLevelType w:val="hybridMultilevel"/>
    <w:tmpl w:val="AA46D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E21E4"/>
    <w:multiLevelType w:val="hybridMultilevel"/>
    <w:tmpl w:val="DE085A04"/>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8AF"/>
    <w:multiLevelType w:val="hybridMultilevel"/>
    <w:tmpl w:val="59DE2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364E6"/>
    <w:multiLevelType w:val="multilevel"/>
    <w:tmpl w:val="95380B9A"/>
    <w:lvl w:ilvl="0">
      <w:start w:val="4"/>
      <w:numFmt w:val="decimal"/>
      <w:lvlText w:val="%1."/>
      <w:lvlJc w:val="left"/>
      <w:pPr>
        <w:ind w:left="360" w:hanging="360"/>
      </w:pPr>
      <w:rPr>
        <w:rFonts w:hint="default"/>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711"/>
    <w:multiLevelType w:val="multilevel"/>
    <w:tmpl w:val="53E4B0B6"/>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723B7"/>
    <w:multiLevelType w:val="hybridMultilevel"/>
    <w:tmpl w:val="DE46C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6036F"/>
    <w:multiLevelType w:val="hybridMultilevel"/>
    <w:tmpl w:val="E45A0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1049954">
    <w:abstractNumId w:val="13"/>
  </w:num>
  <w:num w:numId="2" w16cid:durableId="844708147">
    <w:abstractNumId w:val="3"/>
  </w:num>
  <w:num w:numId="3" w16cid:durableId="587620264">
    <w:abstractNumId w:val="15"/>
  </w:num>
  <w:num w:numId="4" w16cid:durableId="330329773">
    <w:abstractNumId w:val="14"/>
  </w:num>
  <w:num w:numId="5" w16cid:durableId="1326125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324728">
    <w:abstractNumId w:val="8"/>
  </w:num>
  <w:num w:numId="7" w16cid:durableId="1561668505">
    <w:abstractNumId w:val="17"/>
  </w:num>
  <w:num w:numId="8" w16cid:durableId="1359508121">
    <w:abstractNumId w:val="4"/>
  </w:num>
  <w:num w:numId="9" w16cid:durableId="1764379646">
    <w:abstractNumId w:val="1"/>
  </w:num>
  <w:num w:numId="10" w16cid:durableId="643780719">
    <w:abstractNumId w:val="11"/>
  </w:num>
  <w:num w:numId="11" w16cid:durableId="752363637">
    <w:abstractNumId w:val="0"/>
  </w:num>
  <w:num w:numId="12" w16cid:durableId="1731611720">
    <w:abstractNumId w:val="2"/>
  </w:num>
  <w:num w:numId="13" w16cid:durableId="516430668">
    <w:abstractNumId w:val="7"/>
  </w:num>
  <w:num w:numId="14" w16cid:durableId="189026047">
    <w:abstractNumId w:val="6"/>
  </w:num>
  <w:num w:numId="15" w16cid:durableId="1021585248">
    <w:abstractNumId w:val="5"/>
  </w:num>
  <w:num w:numId="16" w16cid:durableId="109322925">
    <w:abstractNumId w:val="16"/>
  </w:num>
  <w:num w:numId="17" w16cid:durableId="1373651153">
    <w:abstractNumId w:val="9"/>
  </w:num>
  <w:num w:numId="18" w16cid:durableId="593513863">
    <w:abstractNumId w:val="12"/>
  </w:num>
  <w:num w:numId="19" w16cid:durableId="452677357">
    <w:abstractNumId w:val="10"/>
  </w:num>
  <w:num w:numId="20" w16cid:durableId="18955851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1D4A"/>
    <w:rsid w:val="00031356"/>
    <w:rsid w:val="00047000"/>
    <w:rsid w:val="00063F29"/>
    <w:rsid w:val="000849FC"/>
    <w:rsid w:val="000870B0"/>
    <w:rsid w:val="000A55BC"/>
    <w:rsid w:val="000B2106"/>
    <w:rsid w:val="000D683C"/>
    <w:rsid w:val="000D6894"/>
    <w:rsid w:val="000E07E8"/>
    <w:rsid w:val="000F2C87"/>
    <w:rsid w:val="00103DF4"/>
    <w:rsid w:val="00112974"/>
    <w:rsid w:val="00116932"/>
    <w:rsid w:val="001321AC"/>
    <w:rsid w:val="00137CF3"/>
    <w:rsid w:val="001406D8"/>
    <w:rsid w:val="00146B0C"/>
    <w:rsid w:val="00152438"/>
    <w:rsid w:val="00166936"/>
    <w:rsid w:val="00175944"/>
    <w:rsid w:val="0018334C"/>
    <w:rsid w:val="00191166"/>
    <w:rsid w:val="001A6568"/>
    <w:rsid w:val="001C547E"/>
    <w:rsid w:val="001E17AB"/>
    <w:rsid w:val="00202FED"/>
    <w:rsid w:val="00213810"/>
    <w:rsid w:val="002165D1"/>
    <w:rsid w:val="00242889"/>
    <w:rsid w:val="0026510C"/>
    <w:rsid w:val="00287514"/>
    <w:rsid w:val="002A1A91"/>
    <w:rsid w:val="002D7D35"/>
    <w:rsid w:val="002E7BB1"/>
    <w:rsid w:val="002F1EF6"/>
    <w:rsid w:val="002F6630"/>
    <w:rsid w:val="002F7FB1"/>
    <w:rsid w:val="0030671E"/>
    <w:rsid w:val="003235CB"/>
    <w:rsid w:val="00333CFF"/>
    <w:rsid w:val="00354FFB"/>
    <w:rsid w:val="00370BAC"/>
    <w:rsid w:val="00384F39"/>
    <w:rsid w:val="003949CB"/>
    <w:rsid w:val="003E1A22"/>
    <w:rsid w:val="003E63DB"/>
    <w:rsid w:val="00424E3A"/>
    <w:rsid w:val="00435123"/>
    <w:rsid w:val="00496E7B"/>
    <w:rsid w:val="004A405C"/>
    <w:rsid w:val="004C3784"/>
    <w:rsid w:val="004C6DC8"/>
    <w:rsid w:val="004D4A72"/>
    <w:rsid w:val="00501FEF"/>
    <w:rsid w:val="00534A63"/>
    <w:rsid w:val="0053575F"/>
    <w:rsid w:val="005422B3"/>
    <w:rsid w:val="00543703"/>
    <w:rsid w:val="005449E6"/>
    <w:rsid w:val="005472B0"/>
    <w:rsid w:val="00555740"/>
    <w:rsid w:val="0056732D"/>
    <w:rsid w:val="00573448"/>
    <w:rsid w:val="00575BF8"/>
    <w:rsid w:val="00576884"/>
    <w:rsid w:val="00597EBF"/>
    <w:rsid w:val="005A508F"/>
    <w:rsid w:val="005D712A"/>
    <w:rsid w:val="00627E82"/>
    <w:rsid w:val="00631C11"/>
    <w:rsid w:val="00652558"/>
    <w:rsid w:val="00653846"/>
    <w:rsid w:val="00657858"/>
    <w:rsid w:val="0066668C"/>
    <w:rsid w:val="00674F1B"/>
    <w:rsid w:val="006936E2"/>
    <w:rsid w:val="006A2177"/>
    <w:rsid w:val="006C1186"/>
    <w:rsid w:val="006C69A6"/>
    <w:rsid w:val="00707C36"/>
    <w:rsid w:val="00723710"/>
    <w:rsid w:val="00723D66"/>
    <w:rsid w:val="00744441"/>
    <w:rsid w:val="007447A4"/>
    <w:rsid w:val="00747A05"/>
    <w:rsid w:val="00747CA9"/>
    <w:rsid w:val="00750948"/>
    <w:rsid w:val="00796C20"/>
    <w:rsid w:val="007A36C0"/>
    <w:rsid w:val="007A75DB"/>
    <w:rsid w:val="007B735C"/>
    <w:rsid w:val="007C50AC"/>
    <w:rsid w:val="007E059D"/>
    <w:rsid w:val="007E6C30"/>
    <w:rsid w:val="0080590D"/>
    <w:rsid w:val="0081154E"/>
    <w:rsid w:val="00813BE8"/>
    <w:rsid w:val="0082276A"/>
    <w:rsid w:val="00831262"/>
    <w:rsid w:val="008413D4"/>
    <w:rsid w:val="00854DE5"/>
    <w:rsid w:val="00861229"/>
    <w:rsid w:val="008928CD"/>
    <w:rsid w:val="008B6524"/>
    <w:rsid w:val="008E4995"/>
    <w:rsid w:val="008E7B27"/>
    <w:rsid w:val="009044A2"/>
    <w:rsid w:val="00913965"/>
    <w:rsid w:val="00940539"/>
    <w:rsid w:val="009C0A6E"/>
    <w:rsid w:val="009F0CD0"/>
    <w:rsid w:val="00A1630A"/>
    <w:rsid w:val="00A435DA"/>
    <w:rsid w:val="00A51B15"/>
    <w:rsid w:val="00A613DF"/>
    <w:rsid w:val="00A664BD"/>
    <w:rsid w:val="00A86B68"/>
    <w:rsid w:val="00AB6556"/>
    <w:rsid w:val="00AC1E6C"/>
    <w:rsid w:val="00B2116B"/>
    <w:rsid w:val="00B3065F"/>
    <w:rsid w:val="00B356D5"/>
    <w:rsid w:val="00B3760F"/>
    <w:rsid w:val="00B51927"/>
    <w:rsid w:val="00B56759"/>
    <w:rsid w:val="00B8461A"/>
    <w:rsid w:val="00B9205F"/>
    <w:rsid w:val="00B93E89"/>
    <w:rsid w:val="00BA30A9"/>
    <w:rsid w:val="00BA3B66"/>
    <w:rsid w:val="00BB1BDA"/>
    <w:rsid w:val="00BC1D0E"/>
    <w:rsid w:val="00BC3286"/>
    <w:rsid w:val="00BE7490"/>
    <w:rsid w:val="00BE7F98"/>
    <w:rsid w:val="00C03219"/>
    <w:rsid w:val="00C1593C"/>
    <w:rsid w:val="00C20AD7"/>
    <w:rsid w:val="00C37A20"/>
    <w:rsid w:val="00C40BE8"/>
    <w:rsid w:val="00C52593"/>
    <w:rsid w:val="00C54EAD"/>
    <w:rsid w:val="00CA1597"/>
    <w:rsid w:val="00CB41CF"/>
    <w:rsid w:val="00D0251B"/>
    <w:rsid w:val="00D36C17"/>
    <w:rsid w:val="00D520FA"/>
    <w:rsid w:val="00D52D8C"/>
    <w:rsid w:val="00D77356"/>
    <w:rsid w:val="00DB64B4"/>
    <w:rsid w:val="00DC2B6D"/>
    <w:rsid w:val="00DC3E44"/>
    <w:rsid w:val="00DC77E3"/>
    <w:rsid w:val="00DD1F25"/>
    <w:rsid w:val="00DD2480"/>
    <w:rsid w:val="00DE3937"/>
    <w:rsid w:val="00E026AD"/>
    <w:rsid w:val="00E16604"/>
    <w:rsid w:val="00E174F3"/>
    <w:rsid w:val="00E40323"/>
    <w:rsid w:val="00E4035C"/>
    <w:rsid w:val="00E5334A"/>
    <w:rsid w:val="00E6021A"/>
    <w:rsid w:val="00E60684"/>
    <w:rsid w:val="00EA052F"/>
    <w:rsid w:val="00ED6CA1"/>
    <w:rsid w:val="00F1102F"/>
    <w:rsid w:val="00F13C8C"/>
    <w:rsid w:val="00F210C8"/>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A1B8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BC1D0E"/>
    <w:pPr>
      <w:keepNext/>
      <w:numPr>
        <w:numId w:val="1"/>
      </w:numPr>
      <w:pBdr>
        <w:bottom w:val="double" w:sz="4" w:space="1" w:color="44546A" w:themeColor="text2"/>
      </w:pBdr>
      <w:tabs>
        <w:tab w:val="left" w:pos="284"/>
      </w:tabs>
      <w:spacing w:before="240" w:after="360"/>
      <w:ind w:left="0" w:firstLine="0"/>
      <w:jc w:val="center"/>
      <w:outlineLvl w:val="0"/>
    </w:pPr>
    <w:rPr>
      <w:rFonts w:eastAsiaTheme="majorEastAsia" w:cstheme="majorBidi"/>
      <w:b/>
      <w:smallCaps/>
      <w:color w:val="44546A" w:themeColor="text2"/>
      <w:sz w:val="32"/>
      <w:szCs w:val="32"/>
    </w:rPr>
  </w:style>
  <w:style w:type="paragraph" w:styleId="Heading2">
    <w:name w:val="heading 2"/>
    <w:basedOn w:val="Normal"/>
    <w:next w:val="Normal"/>
    <w:link w:val="Heading2Char"/>
    <w:autoRedefine/>
    <w:unhideWhenUsed/>
    <w:qFormat/>
    <w:rsid w:val="0030671E"/>
    <w:pPr>
      <w:keepNext/>
      <w:numPr>
        <w:ilvl w:val="1"/>
        <w:numId w:val="18"/>
      </w:numPr>
      <w:tabs>
        <w:tab w:val="left" w:pos="142"/>
      </w:tabs>
      <w:outlineLvl w:val="1"/>
    </w:pPr>
    <w:rPr>
      <w:rFonts w:eastAsiaTheme="majorEastAsia" w:cstheme="majorBidi"/>
      <w:b/>
      <w:smallCaps/>
      <w:color w:val="44546A" w:themeColor="text2"/>
      <w:sz w:val="24"/>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BC1D0E"/>
    <w:rPr>
      <w:rFonts w:ascii="Cambria" w:eastAsiaTheme="majorEastAsia" w:hAnsi="Cambria" w:cstheme="majorBidi"/>
      <w:b/>
      <w:smallCaps/>
      <w:color w:val="44546A" w:themeColor="text2"/>
      <w:sz w:val="32"/>
      <w:szCs w:val="32"/>
      <w:lang w:eastAsia="hr-HR"/>
    </w:rPr>
  </w:style>
  <w:style w:type="character" w:customStyle="1" w:styleId="Heading2Char">
    <w:name w:val="Heading 2 Char"/>
    <w:basedOn w:val="DefaultParagraphFont"/>
    <w:link w:val="Heading2"/>
    <w:rsid w:val="0030671E"/>
    <w:rPr>
      <w:rFonts w:ascii="Cambria" w:eastAsiaTheme="majorEastAsia" w:hAnsi="Cambria" w:cstheme="majorBidi"/>
      <w:b/>
      <w:smallCaps/>
      <w:color w:val="44546A" w:themeColor="text2"/>
      <w:sz w:val="24"/>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styleId="Caption">
    <w:name w:val="caption"/>
    <w:basedOn w:val="Normal"/>
    <w:next w:val="Normal"/>
    <w:uiPriority w:val="35"/>
    <w:qFormat/>
    <w:rsid w:val="00E5334A"/>
    <w:pPr>
      <w:tabs>
        <w:tab w:val="left" w:pos="142"/>
      </w:tabs>
      <w:jc w:val="center"/>
    </w:pPr>
    <w:rPr>
      <w:rFonts w:eastAsia="Calibri" w:cs="Arial"/>
      <w:bCs/>
      <w:sz w:val="20"/>
    </w:rPr>
  </w:style>
  <w:style w:type="paragraph" w:customStyle="1" w:styleId="Paragraph">
    <w:name w:val="Paragraph"/>
    <w:basedOn w:val="Normal"/>
    <w:rsid w:val="00BC1D0E"/>
    <w:pPr>
      <w:tabs>
        <w:tab w:val="left" w:pos="142"/>
      </w:tabs>
      <w:ind w:left="720"/>
    </w:pPr>
    <w:rPr>
      <w:rFonts w:ascii="Calibri" w:eastAsia="Batang" w:hAnsi="Calibri" w:cs="Arial"/>
      <w:lang w:eastAsia="ko-KR"/>
    </w:rPr>
  </w:style>
  <w:style w:type="paragraph" w:styleId="BalloonText">
    <w:name w:val="Balloon Text"/>
    <w:basedOn w:val="Normal"/>
    <w:link w:val="BalloonTextChar"/>
    <w:uiPriority w:val="99"/>
    <w:semiHidden/>
    <w:unhideWhenUsed/>
    <w:rsid w:val="00B5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9"/>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DC77E3"/>
    <w:rPr>
      <w:sz w:val="16"/>
      <w:szCs w:val="16"/>
    </w:rPr>
  </w:style>
  <w:style w:type="paragraph" w:styleId="CommentText">
    <w:name w:val="annotation text"/>
    <w:basedOn w:val="Normal"/>
    <w:link w:val="CommentTextChar"/>
    <w:uiPriority w:val="99"/>
    <w:semiHidden/>
    <w:unhideWhenUsed/>
    <w:rsid w:val="00DC77E3"/>
    <w:rPr>
      <w:sz w:val="20"/>
      <w:szCs w:val="20"/>
    </w:rPr>
  </w:style>
  <w:style w:type="character" w:customStyle="1" w:styleId="CommentTextChar">
    <w:name w:val="Comment Text Char"/>
    <w:basedOn w:val="DefaultParagraphFont"/>
    <w:link w:val="CommentText"/>
    <w:uiPriority w:val="99"/>
    <w:semiHidden/>
    <w:rsid w:val="00DC77E3"/>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DC77E3"/>
    <w:rPr>
      <w:b/>
      <w:bCs/>
    </w:rPr>
  </w:style>
  <w:style w:type="character" w:customStyle="1" w:styleId="CommentSubjectChar">
    <w:name w:val="Comment Subject Char"/>
    <w:basedOn w:val="CommentTextChar"/>
    <w:link w:val="CommentSubject"/>
    <w:uiPriority w:val="99"/>
    <w:semiHidden/>
    <w:rsid w:val="00DC77E3"/>
    <w:rPr>
      <w:rFonts w:ascii="Cambria" w:eastAsiaTheme="minorEastAsia" w:hAnsi="Cambria"/>
      <w:b/>
      <w:bCs/>
      <w:sz w:val="20"/>
      <w:szCs w:val="20"/>
      <w:lang w:eastAsia="hr-HR"/>
    </w:rPr>
  </w:style>
  <w:style w:type="character" w:styleId="Strong">
    <w:name w:val="Strong"/>
    <w:basedOn w:val="DefaultParagraphFont"/>
    <w:uiPriority w:val="22"/>
    <w:qFormat/>
    <w:rsid w:val="00B356D5"/>
    <w:rPr>
      <w:b/>
      <w:bCs/>
    </w:rPr>
  </w:style>
  <w:style w:type="table" w:styleId="GridTable3-Accent1">
    <w:name w:val="Grid Table 3 Accent 1"/>
    <w:basedOn w:val="TableNormal"/>
    <w:uiPriority w:val="48"/>
    <w:rsid w:val="005437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257">
      <w:bodyDiv w:val="1"/>
      <w:marLeft w:val="0"/>
      <w:marRight w:val="0"/>
      <w:marTop w:val="0"/>
      <w:marBottom w:val="0"/>
      <w:divBdr>
        <w:top w:val="none" w:sz="0" w:space="0" w:color="auto"/>
        <w:left w:val="none" w:sz="0" w:space="0" w:color="auto"/>
        <w:bottom w:val="none" w:sz="0" w:space="0" w:color="auto"/>
        <w:right w:val="none" w:sz="0" w:space="0" w:color="auto"/>
      </w:divBdr>
    </w:div>
    <w:div w:id="234751327">
      <w:bodyDiv w:val="1"/>
      <w:marLeft w:val="0"/>
      <w:marRight w:val="0"/>
      <w:marTop w:val="0"/>
      <w:marBottom w:val="0"/>
      <w:divBdr>
        <w:top w:val="none" w:sz="0" w:space="0" w:color="auto"/>
        <w:left w:val="none" w:sz="0" w:space="0" w:color="auto"/>
        <w:bottom w:val="none" w:sz="0" w:space="0" w:color="auto"/>
        <w:right w:val="none" w:sz="0" w:space="0" w:color="auto"/>
      </w:divBdr>
    </w:div>
    <w:div w:id="235551976">
      <w:bodyDiv w:val="1"/>
      <w:marLeft w:val="0"/>
      <w:marRight w:val="0"/>
      <w:marTop w:val="0"/>
      <w:marBottom w:val="0"/>
      <w:divBdr>
        <w:top w:val="none" w:sz="0" w:space="0" w:color="auto"/>
        <w:left w:val="none" w:sz="0" w:space="0" w:color="auto"/>
        <w:bottom w:val="none" w:sz="0" w:space="0" w:color="auto"/>
        <w:right w:val="none" w:sz="0" w:space="0" w:color="auto"/>
      </w:divBdr>
    </w:div>
    <w:div w:id="1793208806">
      <w:bodyDiv w:val="1"/>
      <w:marLeft w:val="0"/>
      <w:marRight w:val="0"/>
      <w:marTop w:val="0"/>
      <w:marBottom w:val="0"/>
      <w:divBdr>
        <w:top w:val="none" w:sz="0" w:space="0" w:color="auto"/>
        <w:left w:val="none" w:sz="0" w:space="0" w:color="auto"/>
        <w:bottom w:val="none" w:sz="0" w:space="0" w:color="auto"/>
        <w:right w:val="none" w:sz="0" w:space="0" w:color="auto"/>
      </w:divBdr>
    </w:div>
    <w:div w:id="21144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65AD-0080-4D08-B640-2A0C3747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3467</Words>
  <Characters>22751</Characters>
  <Application>Microsoft Office Word</Application>
  <DocSecurity>0</DocSecurity>
  <Lines>505</Lines>
  <Paragraphs>284</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upravljanja rizicima informacijskog sustava</dc:title>
  <dc:subject/>
  <dc:creator>Danijel Bara</dc:creator>
  <cp:keywords/>
  <dc:description/>
  <cp:lastModifiedBy>Daniel Bara</cp:lastModifiedBy>
  <cp:revision>28</cp:revision>
  <cp:lastPrinted>2017-03-28T12:31:00Z</cp:lastPrinted>
  <dcterms:created xsi:type="dcterms:W3CDTF">2024-06-14T20:45:00Z</dcterms:created>
  <dcterms:modified xsi:type="dcterms:W3CDTF">2025-04-26T10:01:00Z</dcterms:modified>
</cp:coreProperties>
</file>